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B614" w14:textId="7BD5110D" w:rsidR="009C6A48" w:rsidRDefault="006120B2" w:rsidP="007E0BA1">
      <w:pPr>
        <w:jc w:val="center"/>
        <w:rPr>
          <w:rFonts w:asciiTheme="majorHAnsi" w:hAnsiTheme="majorHAnsi" w:cstheme="majorHAnsi"/>
          <w:b/>
          <w:color w:val="2F5496" w:themeColor="accent1" w:themeShade="BF"/>
          <w:sz w:val="20"/>
          <w:lang w:val="es-AR"/>
        </w:rPr>
      </w:pPr>
      <w:bookmarkStart w:id="0" w:name="_GoBack"/>
      <w:bookmarkEnd w:id="0"/>
      <w:r>
        <w:rPr>
          <w:rFonts w:asciiTheme="majorHAnsi" w:hAnsiTheme="majorHAnsi" w:cstheme="majorHAnsi"/>
          <w:b/>
          <w:color w:val="2F5496" w:themeColor="accent1" w:themeShade="BF"/>
          <w:sz w:val="20"/>
          <w:lang w:val="es-AR"/>
        </w:rPr>
        <w:tab/>
      </w:r>
    </w:p>
    <w:p w14:paraId="1413EFB1" w14:textId="245B4732" w:rsidR="00ED7214" w:rsidRDefault="00ED7214" w:rsidP="007E0BA1">
      <w:pPr>
        <w:jc w:val="center"/>
        <w:rPr>
          <w:rFonts w:asciiTheme="majorHAnsi" w:hAnsiTheme="majorHAnsi" w:cstheme="majorHAnsi"/>
          <w:b/>
          <w:color w:val="2F5496" w:themeColor="accent1" w:themeShade="BF"/>
          <w:sz w:val="20"/>
          <w:lang w:val="es-AR"/>
        </w:rPr>
      </w:pPr>
    </w:p>
    <w:p w14:paraId="5CC70182" w14:textId="77777777" w:rsidR="00C2069A" w:rsidRPr="00971C8E" w:rsidRDefault="00C2069A" w:rsidP="007E0BA1">
      <w:pPr>
        <w:jc w:val="center"/>
        <w:rPr>
          <w:rFonts w:asciiTheme="majorHAnsi" w:hAnsiTheme="majorHAnsi" w:cstheme="majorHAnsi"/>
          <w:b/>
          <w:color w:val="2F5496" w:themeColor="accent1" w:themeShade="BF"/>
          <w:sz w:val="20"/>
          <w:lang w:val="es-AR"/>
        </w:rPr>
      </w:pPr>
    </w:p>
    <w:p w14:paraId="5BDF0548" w14:textId="77777777" w:rsidR="00971C8E" w:rsidRPr="00971C8E" w:rsidRDefault="00971C8E" w:rsidP="007E0BA1">
      <w:pPr>
        <w:jc w:val="center"/>
        <w:rPr>
          <w:rFonts w:asciiTheme="majorHAnsi" w:hAnsiTheme="majorHAnsi" w:cstheme="majorHAnsi"/>
          <w:b/>
          <w:color w:val="2F5496" w:themeColor="accent1" w:themeShade="BF"/>
          <w:sz w:val="32"/>
          <w:lang w:val="es-AR"/>
        </w:rPr>
      </w:pPr>
    </w:p>
    <w:p w14:paraId="4185999D" w14:textId="77777777" w:rsidR="00FC0EDC" w:rsidRPr="0024044B" w:rsidRDefault="007E0BA1" w:rsidP="007E0BA1">
      <w:pPr>
        <w:jc w:val="center"/>
        <w:rPr>
          <w:rFonts w:asciiTheme="majorHAnsi" w:hAnsiTheme="majorHAnsi" w:cstheme="majorHAnsi"/>
          <w:b/>
          <w:color w:val="2F5496" w:themeColor="accent1" w:themeShade="BF"/>
          <w:sz w:val="72"/>
          <w:lang w:val="es-AR"/>
        </w:rPr>
      </w:pPr>
      <w:r w:rsidRPr="0024044B">
        <w:rPr>
          <w:rFonts w:asciiTheme="majorHAnsi" w:hAnsiTheme="majorHAnsi" w:cstheme="majorHAnsi"/>
          <w:b/>
          <w:color w:val="2F5496" w:themeColor="accent1" w:themeShade="BF"/>
          <w:sz w:val="72"/>
          <w:lang w:val="es-AR"/>
        </w:rPr>
        <w:t xml:space="preserve">VALOR AGREGADO NACIONAL </w:t>
      </w:r>
    </w:p>
    <w:p w14:paraId="15DA8CE6" w14:textId="19DE1446" w:rsidR="007E0BA1" w:rsidRPr="0024044B" w:rsidRDefault="007E0BA1" w:rsidP="007E0BA1">
      <w:pPr>
        <w:jc w:val="center"/>
        <w:rPr>
          <w:rFonts w:asciiTheme="majorHAnsi" w:hAnsiTheme="majorHAnsi" w:cstheme="majorHAnsi"/>
          <w:b/>
          <w:color w:val="2F5496" w:themeColor="accent1" w:themeShade="BF"/>
          <w:sz w:val="72"/>
          <w:lang w:val="es-AR"/>
        </w:rPr>
      </w:pPr>
      <w:r w:rsidRPr="0024044B">
        <w:rPr>
          <w:rFonts w:asciiTheme="majorHAnsi" w:hAnsiTheme="majorHAnsi" w:cstheme="majorHAnsi"/>
          <w:b/>
          <w:color w:val="2F5496" w:themeColor="accent1" w:themeShade="BF"/>
          <w:sz w:val="72"/>
          <w:lang w:val="es-AR"/>
        </w:rPr>
        <w:t xml:space="preserve"> PLAN GAS</w:t>
      </w:r>
      <w:r w:rsidR="0057308D" w:rsidRPr="0024044B">
        <w:rPr>
          <w:rFonts w:asciiTheme="majorHAnsi" w:hAnsiTheme="majorHAnsi" w:cstheme="majorHAnsi"/>
          <w:b/>
          <w:color w:val="2F5496" w:themeColor="accent1" w:themeShade="BF"/>
          <w:sz w:val="72"/>
          <w:lang w:val="es-AR"/>
        </w:rPr>
        <w:t xml:space="preserve"> 2021-2024</w:t>
      </w:r>
    </w:p>
    <w:p w14:paraId="7C5C230D" w14:textId="77777777" w:rsidR="007E0BA1" w:rsidRDefault="007E0BA1" w:rsidP="007E0BA1">
      <w:pPr>
        <w:rPr>
          <w:rFonts w:asciiTheme="majorHAnsi" w:hAnsiTheme="majorHAnsi" w:cstheme="majorHAnsi"/>
          <w:b/>
          <w:color w:val="2F5496" w:themeColor="accent1" w:themeShade="BF"/>
          <w:sz w:val="40"/>
          <w:lang w:val="es-AR"/>
        </w:rPr>
      </w:pPr>
    </w:p>
    <w:p w14:paraId="6D1DAD43" w14:textId="744EE372" w:rsidR="00624B82" w:rsidRDefault="006120B2" w:rsidP="007E0BA1">
      <w:pPr>
        <w:rPr>
          <w:rFonts w:asciiTheme="majorHAnsi" w:hAnsiTheme="majorHAnsi" w:cstheme="majorHAnsi"/>
          <w:b/>
          <w:color w:val="2F5496" w:themeColor="accent1" w:themeShade="BF"/>
          <w:sz w:val="40"/>
          <w:lang w:val="es-AR"/>
        </w:rPr>
      </w:pPr>
      <w:r>
        <w:rPr>
          <w:rFonts w:asciiTheme="majorHAnsi" w:hAnsiTheme="majorHAnsi" w:cstheme="majorHAnsi"/>
          <w:b/>
          <w:color w:val="2F5496" w:themeColor="accent1" w:themeShade="BF"/>
          <w:sz w:val="40"/>
          <w:lang w:val="es-AR"/>
        </w:rPr>
        <w:t xml:space="preserve"> </w:t>
      </w:r>
    </w:p>
    <w:p w14:paraId="268CCAAB" w14:textId="77777777" w:rsidR="002863ED" w:rsidRDefault="002863ED" w:rsidP="007E0BA1">
      <w:pPr>
        <w:rPr>
          <w:rFonts w:asciiTheme="majorHAnsi" w:hAnsiTheme="majorHAnsi" w:cstheme="majorHAnsi"/>
          <w:b/>
          <w:color w:val="2F5496" w:themeColor="accent1" w:themeShade="BF"/>
          <w:sz w:val="40"/>
          <w:lang w:val="es-AR"/>
        </w:rPr>
      </w:pPr>
    </w:p>
    <w:p w14:paraId="0247C82F" w14:textId="77777777" w:rsidR="002863ED" w:rsidRPr="009C6A48" w:rsidRDefault="002863ED" w:rsidP="007E0BA1">
      <w:pPr>
        <w:rPr>
          <w:rFonts w:asciiTheme="majorHAnsi" w:hAnsiTheme="majorHAnsi" w:cstheme="majorHAnsi"/>
          <w:b/>
          <w:color w:val="2F5496" w:themeColor="accent1" w:themeShade="BF"/>
          <w:sz w:val="40"/>
          <w:lang w:val="es-AR"/>
        </w:rPr>
      </w:pPr>
    </w:p>
    <w:p w14:paraId="60ACEB1C" w14:textId="77777777" w:rsidR="00AC397C" w:rsidRDefault="00AC397C" w:rsidP="007E0BA1">
      <w:pPr>
        <w:jc w:val="center"/>
        <w:rPr>
          <w:rFonts w:asciiTheme="majorHAnsi" w:hAnsiTheme="majorHAnsi" w:cstheme="majorHAnsi"/>
          <w:color w:val="2F5496" w:themeColor="accent1" w:themeShade="BF"/>
          <w:sz w:val="48"/>
          <w:lang w:val="es-AR"/>
        </w:rPr>
      </w:pPr>
    </w:p>
    <w:p w14:paraId="16D7602F" w14:textId="5386425E" w:rsidR="007E0BA1" w:rsidRPr="006C4F49" w:rsidRDefault="007E0BA1" w:rsidP="007E0BA1">
      <w:pPr>
        <w:jc w:val="center"/>
        <w:rPr>
          <w:rFonts w:asciiTheme="majorHAnsi" w:hAnsiTheme="majorHAnsi" w:cstheme="majorHAnsi"/>
          <w:color w:val="2F5496" w:themeColor="accent1" w:themeShade="BF"/>
          <w:sz w:val="48"/>
          <w:lang w:val="es-AR"/>
        </w:rPr>
      </w:pPr>
      <w:r w:rsidRPr="006C4F49">
        <w:rPr>
          <w:rFonts w:asciiTheme="majorHAnsi" w:hAnsiTheme="majorHAnsi" w:cstheme="majorHAnsi"/>
          <w:color w:val="2F5496" w:themeColor="accent1" w:themeShade="BF"/>
          <w:sz w:val="48"/>
          <w:lang w:val="es-AR"/>
        </w:rPr>
        <w:t>INFORME PREPARADO POR YPF S.A.</w:t>
      </w:r>
    </w:p>
    <w:p w14:paraId="5F91ABE3" w14:textId="77777777" w:rsidR="007E0BA1" w:rsidRDefault="007E0BA1" w:rsidP="007E0BA1">
      <w:pPr>
        <w:rPr>
          <w:lang w:val="es-AR"/>
        </w:rPr>
      </w:pPr>
    </w:p>
    <w:p w14:paraId="727C18E0" w14:textId="77777777" w:rsidR="009C6A48" w:rsidRDefault="009C6A48" w:rsidP="009C6A48">
      <w:pPr>
        <w:jc w:val="center"/>
        <w:rPr>
          <w:lang w:val="es-AR"/>
        </w:rPr>
      </w:pPr>
    </w:p>
    <w:p w14:paraId="4B9B3D08" w14:textId="77777777" w:rsidR="002863ED" w:rsidRDefault="002863ED" w:rsidP="009C6A48">
      <w:pPr>
        <w:jc w:val="center"/>
        <w:rPr>
          <w:lang w:val="es-AR"/>
        </w:rPr>
      </w:pPr>
    </w:p>
    <w:p w14:paraId="1D81287C" w14:textId="77777777" w:rsidR="002863ED" w:rsidRDefault="002863ED" w:rsidP="009C6A48">
      <w:pPr>
        <w:jc w:val="center"/>
        <w:rPr>
          <w:lang w:val="es-AR"/>
        </w:rPr>
      </w:pPr>
    </w:p>
    <w:p w14:paraId="7EFAE8F2" w14:textId="77777777" w:rsidR="002863ED" w:rsidRDefault="002863ED" w:rsidP="009C6A48">
      <w:pPr>
        <w:jc w:val="center"/>
        <w:rPr>
          <w:lang w:val="es-AR"/>
        </w:rPr>
      </w:pPr>
    </w:p>
    <w:p w14:paraId="7AC78C30" w14:textId="77777777" w:rsidR="00624B82" w:rsidRDefault="00624B82" w:rsidP="009C6A48">
      <w:pPr>
        <w:jc w:val="center"/>
        <w:rPr>
          <w:lang w:val="es-AR"/>
        </w:rPr>
      </w:pPr>
    </w:p>
    <w:p w14:paraId="545A0C71" w14:textId="6E586568" w:rsidR="009C6A48" w:rsidRPr="00C2069A" w:rsidRDefault="00E62FAD" w:rsidP="009C6A48">
      <w:pPr>
        <w:jc w:val="center"/>
        <w:rPr>
          <w:rFonts w:asciiTheme="majorHAnsi" w:hAnsiTheme="majorHAnsi" w:cstheme="majorHAnsi"/>
          <w:color w:val="2F5496" w:themeColor="accent1" w:themeShade="BF"/>
          <w:sz w:val="40"/>
          <w:lang w:val="es-AR"/>
        </w:rPr>
      </w:pPr>
      <w:r>
        <w:rPr>
          <w:rFonts w:asciiTheme="majorHAnsi" w:hAnsiTheme="majorHAnsi" w:cstheme="majorHAnsi"/>
          <w:color w:val="2F5496" w:themeColor="accent1" w:themeShade="BF"/>
          <w:sz w:val="40"/>
          <w:lang w:val="es-AR"/>
        </w:rPr>
        <w:t>1</w:t>
      </w:r>
      <w:r w:rsidR="005859AD">
        <w:rPr>
          <w:rFonts w:asciiTheme="majorHAnsi" w:hAnsiTheme="majorHAnsi" w:cstheme="majorHAnsi"/>
          <w:color w:val="2F5496" w:themeColor="accent1" w:themeShade="BF"/>
          <w:sz w:val="40"/>
          <w:lang w:val="es-AR"/>
        </w:rPr>
        <w:t>7</w:t>
      </w:r>
      <w:r w:rsidR="009C6A48" w:rsidRPr="00C2069A">
        <w:rPr>
          <w:rFonts w:asciiTheme="majorHAnsi" w:hAnsiTheme="majorHAnsi" w:cstheme="majorHAnsi"/>
          <w:color w:val="2F5496" w:themeColor="accent1" w:themeShade="BF"/>
          <w:sz w:val="40"/>
          <w:lang w:val="es-AR"/>
        </w:rPr>
        <w:t xml:space="preserve"> de </w:t>
      </w:r>
      <w:r w:rsidR="001E4832" w:rsidRPr="00C2069A">
        <w:rPr>
          <w:rFonts w:asciiTheme="majorHAnsi" w:hAnsiTheme="majorHAnsi" w:cstheme="majorHAnsi"/>
          <w:color w:val="2F5496" w:themeColor="accent1" w:themeShade="BF"/>
          <w:sz w:val="40"/>
          <w:lang w:val="es-AR"/>
        </w:rPr>
        <w:t xml:space="preserve">febrero </w:t>
      </w:r>
      <w:r w:rsidR="009C6A48" w:rsidRPr="00C2069A">
        <w:rPr>
          <w:rFonts w:asciiTheme="majorHAnsi" w:hAnsiTheme="majorHAnsi" w:cstheme="majorHAnsi"/>
          <w:color w:val="2F5496" w:themeColor="accent1" w:themeShade="BF"/>
          <w:sz w:val="40"/>
          <w:lang w:val="es-AR"/>
        </w:rPr>
        <w:t>de 2021</w:t>
      </w:r>
    </w:p>
    <w:p w14:paraId="09939843" w14:textId="77777777" w:rsidR="009C6A48" w:rsidRPr="007E0BA1" w:rsidRDefault="009C6A48" w:rsidP="007E0BA1">
      <w:pPr>
        <w:rPr>
          <w:lang w:val="es-AR"/>
        </w:rPr>
      </w:pPr>
    </w:p>
    <w:p w14:paraId="391547E3" w14:textId="77777777" w:rsidR="00752987" w:rsidRDefault="00752987">
      <w:pPr>
        <w:rPr>
          <w:rFonts w:asciiTheme="majorHAnsi" w:eastAsiaTheme="majorEastAsia" w:hAnsiTheme="majorHAnsi" w:cstheme="majorBidi"/>
          <w:color w:val="2F5496" w:themeColor="accent1" w:themeShade="BF"/>
          <w:sz w:val="32"/>
          <w:szCs w:val="32"/>
          <w:lang w:val="es-AR"/>
        </w:rPr>
      </w:pPr>
      <w:r>
        <w:rPr>
          <w:lang w:val="es-AR"/>
        </w:rPr>
        <w:br w:type="page"/>
      </w:r>
    </w:p>
    <w:p w14:paraId="7101DDB2" w14:textId="77777777" w:rsidR="00721B30" w:rsidRDefault="00721B30" w:rsidP="00EA0F64">
      <w:pPr>
        <w:pStyle w:val="Ttulo1"/>
        <w:jc w:val="center"/>
        <w:rPr>
          <w:lang w:val="es-AR"/>
        </w:rPr>
      </w:pPr>
      <w:r>
        <w:rPr>
          <w:lang w:val="es-AR"/>
        </w:rPr>
        <w:lastRenderedPageBreak/>
        <w:t xml:space="preserve">Introducción </w:t>
      </w:r>
    </w:p>
    <w:p w14:paraId="6FA2D93E" w14:textId="77777777" w:rsidR="00721B30" w:rsidRDefault="00721B30" w:rsidP="00721B30">
      <w:pPr>
        <w:rPr>
          <w:lang w:val="es-AR"/>
        </w:rPr>
      </w:pPr>
    </w:p>
    <w:p w14:paraId="55751456" w14:textId="4F0F0DB2" w:rsidR="00721B30" w:rsidRDefault="00C95DB7" w:rsidP="001F0FDB">
      <w:pPr>
        <w:jc w:val="both"/>
        <w:rPr>
          <w:lang w:val="es-AR"/>
        </w:rPr>
      </w:pPr>
      <w:r>
        <w:rPr>
          <w:lang w:val="es-AR"/>
        </w:rPr>
        <w:t>A</w:t>
      </w:r>
      <w:r w:rsidR="00721B30">
        <w:rPr>
          <w:lang w:val="es-AR"/>
        </w:rPr>
        <w:t xml:space="preserve"> requerimiento de la Autoridad de Aplicación (AA) del Plan Gas</w:t>
      </w:r>
      <w:r w:rsidR="00AC397C">
        <w:rPr>
          <w:lang w:val="es-AR"/>
        </w:rPr>
        <w:t xml:space="preserve"> 2021-2024 (Plan Gas.Ar)</w:t>
      </w:r>
      <w:r w:rsidR="00721B30">
        <w:rPr>
          <w:lang w:val="es-AR"/>
        </w:rPr>
        <w:t xml:space="preserve">, </w:t>
      </w:r>
      <w:r>
        <w:rPr>
          <w:lang w:val="es-AR"/>
        </w:rPr>
        <w:t>en el Anexo VI del Pliego de Base y Condiciones “</w:t>
      </w:r>
      <w:r w:rsidRPr="00C95DB7">
        <w:rPr>
          <w:lang w:val="es-AR"/>
        </w:rPr>
        <w:t>“CONCURSO PÚBLICO NACIONAL - PLAN DE PROMOCIÓN DE LA PRODUCCIÓN DEL GAS NATURAL ARGENTINO–ESQUEMA DE OFERTA Y DEMANDA 2020-2024”</w:t>
      </w:r>
      <w:r>
        <w:rPr>
          <w:lang w:val="es-AR"/>
        </w:rPr>
        <w:t xml:space="preserve">, Decreto 892/2020, </w:t>
      </w:r>
      <w:r w:rsidR="00721B30">
        <w:rPr>
          <w:lang w:val="es-AR"/>
        </w:rPr>
        <w:t xml:space="preserve">se presenta </w:t>
      </w:r>
      <w:r w:rsidR="00CB1DEA">
        <w:rPr>
          <w:lang w:val="es-AR"/>
        </w:rPr>
        <w:t xml:space="preserve">a continuación </w:t>
      </w:r>
      <w:r w:rsidR="00721B30">
        <w:rPr>
          <w:lang w:val="es-AR"/>
        </w:rPr>
        <w:t>la visión de YPF en cuanto a</w:t>
      </w:r>
      <w:r w:rsidR="00453809">
        <w:rPr>
          <w:lang w:val="es-AR"/>
        </w:rPr>
        <w:t>, principalmente, lo siguiente</w:t>
      </w:r>
      <w:r w:rsidR="00721B30">
        <w:rPr>
          <w:lang w:val="es-AR"/>
        </w:rPr>
        <w:t xml:space="preserve">: </w:t>
      </w:r>
      <w:r w:rsidR="00721B30" w:rsidRPr="00C22E03">
        <w:rPr>
          <w:b/>
          <w:lang w:val="es-AR"/>
        </w:rPr>
        <w:t xml:space="preserve">i) el plan de abastecimiento y el gasto esperado con motivo del </w:t>
      </w:r>
      <w:r w:rsidR="001F0FDB" w:rsidRPr="00C22E03">
        <w:rPr>
          <w:b/>
          <w:lang w:val="es-AR"/>
        </w:rPr>
        <w:t>plan de inversión asociado a los volúmenes comprometidos en el Plan Gas</w:t>
      </w:r>
      <w:r w:rsidR="00FC6A94" w:rsidRPr="00C22E03">
        <w:rPr>
          <w:b/>
          <w:lang w:val="es-AR"/>
        </w:rPr>
        <w:t>, con una visión de la estructura del gasto por rubros petroleros</w:t>
      </w:r>
      <w:r w:rsidR="00453809">
        <w:rPr>
          <w:b/>
          <w:lang w:val="es-AR"/>
        </w:rPr>
        <w:t>, y su procedencia (nacional, regional, internacional)</w:t>
      </w:r>
      <w:r w:rsidR="001F0FDB" w:rsidRPr="00C22E03">
        <w:rPr>
          <w:b/>
          <w:lang w:val="es-AR"/>
        </w:rPr>
        <w:t>; ii) una visión del desarrollo de proveedores locales en línea con el incremento en el valor económico de las operaciones.</w:t>
      </w:r>
      <w:r w:rsidR="00FC6A94" w:rsidRPr="00C22E03">
        <w:rPr>
          <w:b/>
          <w:lang w:val="es-AR"/>
        </w:rPr>
        <w:t xml:space="preserve"> </w:t>
      </w:r>
      <w:r w:rsidR="00FC6A94">
        <w:rPr>
          <w:lang w:val="es-AR"/>
        </w:rPr>
        <w:t xml:space="preserve"> </w:t>
      </w:r>
      <w:r w:rsidR="001F0FDB">
        <w:rPr>
          <w:lang w:val="es-AR"/>
        </w:rPr>
        <w:t xml:space="preserve"> </w:t>
      </w:r>
    </w:p>
    <w:p w14:paraId="079A07FA" w14:textId="2F1942C5" w:rsidR="00FC6A94" w:rsidRDefault="00FC6A94" w:rsidP="001F0FDB">
      <w:pPr>
        <w:jc w:val="both"/>
        <w:rPr>
          <w:lang w:val="es-AR"/>
        </w:rPr>
      </w:pPr>
      <w:r>
        <w:rPr>
          <w:lang w:val="es-AR"/>
        </w:rPr>
        <w:t xml:space="preserve">Incluimos </w:t>
      </w:r>
      <w:r w:rsidRPr="004743D7">
        <w:rPr>
          <w:lang w:val="es-AR"/>
        </w:rPr>
        <w:t xml:space="preserve">también una serie de </w:t>
      </w:r>
      <w:r w:rsidRPr="004743D7">
        <w:rPr>
          <w:b/>
          <w:lang w:val="es-AR"/>
        </w:rPr>
        <w:t xml:space="preserve">visiones particulares </w:t>
      </w:r>
      <w:r w:rsidR="00D00959" w:rsidRPr="004743D7">
        <w:rPr>
          <w:b/>
          <w:lang w:val="es-AR"/>
        </w:rPr>
        <w:t xml:space="preserve">de YPF </w:t>
      </w:r>
      <w:r w:rsidR="005B68A6" w:rsidRPr="004743D7">
        <w:rPr>
          <w:b/>
          <w:lang w:val="es-AR"/>
        </w:rPr>
        <w:t>en relación con los desafíos competitivos del sector, a</w:t>
      </w:r>
      <w:r w:rsidRPr="004743D7">
        <w:rPr>
          <w:b/>
          <w:lang w:val="es-AR"/>
        </w:rPr>
        <w:t>l significado económico de</w:t>
      </w:r>
      <w:r w:rsidR="005B68A6" w:rsidRPr="004743D7">
        <w:rPr>
          <w:b/>
          <w:lang w:val="es-AR"/>
        </w:rPr>
        <w:t>l</w:t>
      </w:r>
      <w:r w:rsidRPr="004743D7">
        <w:rPr>
          <w:b/>
          <w:lang w:val="es-AR"/>
        </w:rPr>
        <w:t xml:space="preserve"> compre local </w:t>
      </w:r>
      <w:r w:rsidR="005B68A6" w:rsidRPr="004743D7">
        <w:rPr>
          <w:b/>
          <w:lang w:val="es-AR"/>
        </w:rPr>
        <w:t>vis a vis el del multiplicador</w:t>
      </w:r>
      <w:r w:rsidR="005B68A6" w:rsidRPr="004743D7">
        <w:rPr>
          <w:lang w:val="es-AR"/>
        </w:rPr>
        <w:t xml:space="preserve"> </w:t>
      </w:r>
      <w:r w:rsidR="005B68A6" w:rsidRPr="004743D7">
        <w:rPr>
          <w:b/>
          <w:lang w:val="es-AR"/>
        </w:rPr>
        <w:t>económico</w:t>
      </w:r>
      <w:r w:rsidR="005B68A6" w:rsidRPr="004743D7">
        <w:rPr>
          <w:lang w:val="es-AR"/>
        </w:rPr>
        <w:t xml:space="preserve"> de la actividad, y otros </w:t>
      </w:r>
      <w:r w:rsidRPr="004743D7">
        <w:rPr>
          <w:lang w:val="es-AR"/>
        </w:rPr>
        <w:t xml:space="preserve">elementos que, a juicio de YPF, revisten un carácter discrecional y que afectan a YPF en detrimento del resto de los jugadores del mercado, como lo es la exclusión </w:t>
      </w:r>
      <w:r w:rsidR="00497737" w:rsidRPr="004743D7">
        <w:rPr>
          <w:lang w:val="es-AR"/>
        </w:rPr>
        <w:t>de</w:t>
      </w:r>
      <w:r w:rsidRPr="004743D7">
        <w:rPr>
          <w:lang w:val="es-AR"/>
        </w:rPr>
        <w:t xml:space="preserve"> la consideración de</w:t>
      </w:r>
      <w:r w:rsidR="00497737" w:rsidRPr="004743D7">
        <w:rPr>
          <w:lang w:val="es-AR"/>
        </w:rPr>
        <w:t>l</w:t>
      </w:r>
      <w:r w:rsidRPr="004743D7">
        <w:rPr>
          <w:lang w:val="es-AR"/>
        </w:rPr>
        <w:t xml:space="preserve"> </w:t>
      </w:r>
      <w:r w:rsidR="00497737" w:rsidRPr="004743D7">
        <w:rPr>
          <w:lang w:val="es-AR"/>
        </w:rPr>
        <w:t xml:space="preserve">compre </w:t>
      </w:r>
      <w:r w:rsidRPr="004743D7">
        <w:rPr>
          <w:lang w:val="es-AR"/>
        </w:rPr>
        <w:t xml:space="preserve">local </w:t>
      </w:r>
      <w:r w:rsidR="004056A0" w:rsidRPr="004743D7">
        <w:rPr>
          <w:lang w:val="es-AR"/>
        </w:rPr>
        <w:t>a</w:t>
      </w:r>
      <w:r w:rsidRPr="004743D7">
        <w:rPr>
          <w:lang w:val="es-AR"/>
        </w:rPr>
        <w:t xml:space="preserve"> AESA</w:t>
      </w:r>
      <w:r w:rsidR="005B68A6" w:rsidRPr="004743D7">
        <w:rPr>
          <w:lang w:val="es-AR"/>
        </w:rPr>
        <w:t>.</w:t>
      </w:r>
      <w:r>
        <w:rPr>
          <w:lang w:val="es-AR"/>
        </w:rPr>
        <w:t xml:space="preserve">  </w:t>
      </w:r>
    </w:p>
    <w:p w14:paraId="7196FD0A" w14:textId="39C71D9A" w:rsidR="00B22C61" w:rsidRDefault="005B68A6">
      <w:pPr>
        <w:rPr>
          <w:rFonts w:asciiTheme="majorHAnsi" w:eastAsiaTheme="majorEastAsia" w:hAnsiTheme="majorHAnsi" w:cstheme="majorBidi"/>
          <w:color w:val="2F5496" w:themeColor="accent1" w:themeShade="BF"/>
          <w:sz w:val="32"/>
          <w:szCs w:val="32"/>
          <w:lang w:val="es-AR"/>
        </w:rPr>
      </w:pPr>
      <w:r>
        <w:rPr>
          <w:lang w:val="es-AR"/>
        </w:rPr>
        <w:t xml:space="preserve">Los anexos </w:t>
      </w:r>
      <w:r w:rsidR="00345F24">
        <w:rPr>
          <w:lang w:val="es-AR"/>
        </w:rPr>
        <w:t xml:space="preserve">a este informe </w:t>
      </w:r>
      <w:r>
        <w:rPr>
          <w:lang w:val="es-AR"/>
        </w:rPr>
        <w:t xml:space="preserve">complementan </w:t>
      </w:r>
      <w:r w:rsidR="00345F24">
        <w:rPr>
          <w:lang w:val="es-AR"/>
        </w:rPr>
        <w:t xml:space="preserve">el respaldo numérico del plan de abastecimiento. </w:t>
      </w:r>
      <w:r w:rsidR="00B22C61">
        <w:rPr>
          <w:lang w:val="es-AR"/>
        </w:rPr>
        <w:br w:type="page"/>
      </w:r>
    </w:p>
    <w:p w14:paraId="5984F54D" w14:textId="128DA2F5" w:rsidR="00624A72" w:rsidRPr="009D4DD5" w:rsidRDefault="008D33B6" w:rsidP="00EA0F64">
      <w:pPr>
        <w:pStyle w:val="Ttulo1"/>
        <w:jc w:val="center"/>
        <w:rPr>
          <w:b/>
          <w:sz w:val="28"/>
          <w:lang w:val="es-AR"/>
        </w:rPr>
      </w:pPr>
      <w:r w:rsidRPr="009D4DD5">
        <w:rPr>
          <w:b/>
          <w:sz w:val="28"/>
          <w:u w:val="single"/>
          <w:lang w:val="es-AR"/>
        </w:rPr>
        <w:lastRenderedPageBreak/>
        <w:t>Punto</w:t>
      </w:r>
      <w:r w:rsidR="004163FF" w:rsidRPr="009D4DD5">
        <w:rPr>
          <w:b/>
          <w:sz w:val="28"/>
          <w:u w:val="single"/>
          <w:lang w:val="es-AR"/>
        </w:rPr>
        <w:t xml:space="preserve"> 1</w:t>
      </w:r>
      <w:r w:rsidR="004163FF" w:rsidRPr="009D4DD5">
        <w:rPr>
          <w:b/>
          <w:sz w:val="28"/>
          <w:lang w:val="es-AR"/>
        </w:rPr>
        <w:t>: Plan de abastecimiento de bienes y servicios que requerirán para llevar adelante las operaciones para el primer año de vigencia del Esquema y una proyección para toda su duración</w:t>
      </w:r>
    </w:p>
    <w:p w14:paraId="7907C302" w14:textId="77777777" w:rsidR="004163FF" w:rsidRDefault="004163FF" w:rsidP="004163FF">
      <w:pPr>
        <w:jc w:val="center"/>
        <w:rPr>
          <w:lang w:val="es-AR"/>
        </w:rPr>
      </w:pPr>
    </w:p>
    <w:p w14:paraId="526C09CA" w14:textId="6DFA6895" w:rsidR="000D53AB" w:rsidRPr="000D53AB" w:rsidRDefault="000D53AB" w:rsidP="000D53AB">
      <w:pPr>
        <w:jc w:val="both"/>
        <w:rPr>
          <w:lang w:val="es-AR"/>
        </w:rPr>
      </w:pPr>
      <w:r w:rsidRPr="000D53AB">
        <w:rPr>
          <w:lang w:val="es-AR"/>
        </w:rPr>
        <w:t xml:space="preserve">El </w:t>
      </w:r>
      <w:r w:rsidR="009C154F">
        <w:rPr>
          <w:lang w:val="es-AR"/>
        </w:rPr>
        <w:t>P</w:t>
      </w:r>
      <w:r w:rsidRPr="000D53AB">
        <w:rPr>
          <w:lang w:val="es-AR"/>
        </w:rPr>
        <w:t xml:space="preserve">lan de </w:t>
      </w:r>
      <w:r w:rsidR="009C154F">
        <w:rPr>
          <w:lang w:val="es-AR"/>
        </w:rPr>
        <w:t>A</w:t>
      </w:r>
      <w:r w:rsidRPr="000D53AB">
        <w:rPr>
          <w:lang w:val="es-AR"/>
        </w:rPr>
        <w:t xml:space="preserve">bastecimiento tiene como objeto detallar los servicios y materiales que contratará YPF S.A. para cumplir con lo establecido en el </w:t>
      </w:r>
      <w:r w:rsidR="00C95DB7">
        <w:rPr>
          <w:lang w:val="es-AR"/>
        </w:rPr>
        <w:t xml:space="preserve">citado </w:t>
      </w:r>
      <w:r w:rsidR="0010041D">
        <w:rPr>
          <w:lang w:val="es-AR"/>
        </w:rPr>
        <w:t xml:space="preserve">“Anexo VI - </w:t>
      </w:r>
      <w:r w:rsidR="0010041D" w:rsidRPr="0010041D">
        <w:rPr>
          <w:lang w:val="es-AR"/>
        </w:rPr>
        <w:t>Compromiso con el Valor Agregado Nacional</w:t>
      </w:r>
      <w:r w:rsidR="0010041D">
        <w:rPr>
          <w:lang w:val="es-AR"/>
        </w:rPr>
        <w:t>” del pliego de base</w:t>
      </w:r>
      <w:r w:rsidR="00C95DB7">
        <w:rPr>
          <w:lang w:val="es-AR"/>
        </w:rPr>
        <w:t>s</w:t>
      </w:r>
      <w:r w:rsidR="0010041D">
        <w:rPr>
          <w:lang w:val="es-AR"/>
        </w:rPr>
        <w:t xml:space="preserve"> y condiciones para el Plan Gas 2020-2024.</w:t>
      </w:r>
    </w:p>
    <w:p w14:paraId="15C06CD7" w14:textId="54A28636" w:rsidR="000D53AB" w:rsidRDefault="000D53AB" w:rsidP="00CB1DEA">
      <w:pPr>
        <w:jc w:val="both"/>
        <w:rPr>
          <w:lang w:val="es-AR"/>
        </w:rPr>
      </w:pPr>
      <w:r w:rsidRPr="000D53AB">
        <w:rPr>
          <w:lang w:val="es-AR"/>
        </w:rPr>
        <w:t xml:space="preserve">Para poder abastecer el cupo licitado, desde YPF S.A. se prevé realizar </w:t>
      </w:r>
      <w:r w:rsidRPr="00B572FF">
        <w:rPr>
          <w:highlight w:val="yellow"/>
          <w:lang w:val="es-AR"/>
        </w:rPr>
        <w:t>inversiones</w:t>
      </w:r>
      <w:r w:rsidRPr="000D53AB">
        <w:rPr>
          <w:lang w:val="es-AR"/>
        </w:rPr>
        <w:t xml:space="preserve"> por un monto estimado </w:t>
      </w:r>
      <w:r w:rsidRPr="00B572FF">
        <w:rPr>
          <w:highlight w:val="yellow"/>
          <w:lang w:val="es-AR"/>
        </w:rPr>
        <w:t xml:space="preserve">de </w:t>
      </w:r>
      <w:r w:rsidR="0071213B" w:rsidRPr="00B572FF">
        <w:rPr>
          <w:highlight w:val="yellow"/>
          <w:lang w:val="es-AR"/>
        </w:rPr>
        <w:t xml:space="preserve">más de </w:t>
      </w:r>
      <w:r w:rsidRPr="00B572FF">
        <w:rPr>
          <w:highlight w:val="yellow"/>
          <w:lang w:val="es-AR"/>
        </w:rPr>
        <w:t>1.</w:t>
      </w:r>
      <w:r w:rsidR="0071213B" w:rsidRPr="00B572FF">
        <w:rPr>
          <w:highlight w:val="yellow"/>
          <w:lang w:val="es-AR"/>
        </w:rPr>
        <w:t>600</w:t>
      </w:r>
      <w:r w:rsidR="00CD735F" w:rsidRPr="00B572FF">
        <w:rPr>
          <w:highlight w:val="yellow"/>
          <w:lang w:val="es-AR"/>
        </w:rPr>
        <w:t xml:space="preserve"> millones de dólares desde el 4to trimestre de 2020 hasta 2024 inclusive</w:t>
      </w:r>
      <w:r w:rsidRPr="000D53AB">
        <w:rPr>
          <w:lang w:val="es-AR"/>
        </w:rPr>
        <w:t xml:space="preserve">. Siendo el </w:t>
      </w:r>
      <w:r w:rsidRPr="009C2F48">
        <w:rPr>
          <w:highlight w:val="yellow"/>
          <w:lang w:val="es-AR"/>
        </w:rPr>
        <w:t>94% de las inversiones</w:t>
      </w:r>
      <w:r w:rsidRPr="000D53AB">
        <w:rPr>
          <w:lang w:val="es-AR"/>
        </w:rPr>
        <w:t xml:space="preserve"> asignadas a proyectos </w:t>
      </w:r>
      <w:r w:rsidR="00CB1DEA" w:rsidRPr="009C2F48">
        <w:rPr>
          <w:i/>
          <w:highlight w:val="yellow"/>
          <w:lang w:val="es-AR"/>
        </w:rPr>
        <w:t>shale gas</w:t>
      </w:r>
      <w:r w:rsidR="00CB1DEA">
        <w:rPr>
          <w:i/>
          <w:lang w:val="es-AR"/>
        </w:rPr>
        <w:t xml:space="preserve"> </w:t>
      </w:r>
      <w:r w:rsidRPr="000D53AB">
        <w:rPr>
          <w:lang w:val="es-AR"/>
        </w:rPr>
        <w:t xml:space="preserve">de la </w:t>
      </w:r>
      <w:r w:rsidRPr="009C2F48">
        <w:rPr>
          <w:highlight w:val="yellow"/>
          <w:lang w:val="es-AR"/>
        </w:rPr>
        <w:t>cuenca neuquina</w:t>
      </w:r>
      <w:r w:rsidRPr="000D53AB">
        <w:rPr>
          <w:lang w:val="es-AR"/>
        </w:rPr>
        <w:t xml:space="preserve">, el plan de abastecimiento se construye a partir de la experiencia de YPF en la explotación de </w:t>
      </w:r>
      <w:r w:rsidR="00694E47" w:rsidRPr="000D53AB">
        <w:rPr>
          <w:lang w:val="es-AR"/>
        </w:rPr>
        <w:t>dichas áreas no convencionales</w:t>
      </w:r>
      <w:r w:rsidR="00860C1D">
        <w:rPr>
          <w:lang w:val="es-AR"/>
        </w:rPr>
        <w:t xml:space="preserve"> o </w:t>
      </w:r>
      <w:proofErr w:type="spellStart"/>
      <w:r w:rsidR="00860C1D" w:rsidRPr="00860C1D">
        <w:rPr>
          <w:i/>
          <w:lang w:val="es-AR"/>
        </w:rPr>
        <w:t>plays</w:t>
      </w:r>
      <w:proofErr w:type="spellEnd"/>
      <w:r w:rsidR="00860C1D">
        <w:rPr>
          <w:lang w:val="es-AR"/>
        </w:rPr>
        <w:t xml:space="preserve">, </w:t>
      </w:r>
      <w:r w:rsidR="0010041D">
        <w:rPr>
          <w:lang w:val="es-AR"/>
        </w:rPr>
        <w:t>tal como fuera presentado en el informe anexo a la licitación de los volúmenes asociados al Plan Gas</w:t>
      </w:r>
      <w:r w:rsidR="004163FF">
        <w:rPr>
          <w:lang w:val="es-AR"/>
        </w:rPr>
        <w:t>, en el mes de diciembre 2020</w:t>
      </w:r>
      <w:r w:rsidR="00535667">
        <w:rPr>
          <w:lang w:val="es-AR"/>
        </w:rPr>
        <w:t xml:space="preserve">. </w:t>
      </w:r>
    </w:p>
    <w:p w14:paraId="4C35C65C" w14:textId="7A03BB40" w:rsidR="00E24B68" w:rsidRDefault="00CD735F" w:rsidP="00E24B68">
      <w:pPr>
        <w:jc w:val="center"/>
        <w:rPr>
          <w:lang w:val="es-AR"/>
        </w:rPr>
      </w:pPr>
      <w:r>
        <w:rPr>
          <w:noProof/>
          <w:lang w:val="es-AR" w:eastAsia="es-AR"/>
        </w:rPr>
        <w:drawing>
          <wp:inline distT="0" distB="0" distL="0" distR="0" wp14:anchorId="15149F4C" wp14:editId="048A2DB3">
            <wp:extent cx="5448300" cy="2552700"/>
            <wp:effectExtent l="0" t="0" r="0" b="0"/>
            <wp:docPr id="9" name="Gráfico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ED8B74-A7C6-4141-940A-1D2E11C376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338D31" w14:textId="60BC963F" w:rsidR="0071213B" w:rsidRDefault="0071213B" w:rsidP="0071213B">
      <w:pPr>
        <w:jc w:val="right"/>
        <w:rPr>
          <w:lang w:val="es-AR"/>
        </w:rPr>
      </w:pPr>
      <w:r>
        <w:rPr>
          <w:rStyle w:val="Refdenotaalpie"/>
          <w:lang w:val="es-AR"/>
        </w:rPr>
        <w:footnoteReference w:id="2"/>
      </w:r>
    </w:p>
    <w:p w14:paraId="6109E40D" w14:textId="39A18393" w:rsidR="000D53AB" w:rsidRPr="000D53AB" w:rsidRDefault="000D53AB" w:rsidP="00E24B68">
      <w:pPr>
        <w:jc w:val="both"/>
        <w:rPr>
          <w:lang w:val="es-AR"/>
        </w:rPr>
      </w:pPr>
      <w:r w:rsidRPr="000D53AB">
        <w:rPr>
          <w:lang w:val="es-AR"/>
        </w:rPr>
        <w:t xml:space="preserve">Con el fin </w:t>
      </w:r>
      <w:r w:rsidR="00981343">
        <w:rPr>
          <w:lang w:val="es-AR"/>
        </w:rPr>
        <w:t xml:space="preserve">de </w:t>
      </w:r>
      <w:r w:rsidRPr="000D53AB">
        <w:rPr>
          <w:lang w:val="es-AR"/>
        </w:rPr>
        <w:t xml:space="preserve">estandarizar la diversidad de </w:t>
      </w:r>
      <w:r w:rsidR="00981343">
        <w:rPr>
          <w:lang w:val="es-AR"/>
        </w:rPr>
        <w:t xml:space="preserve">diseños de </w:t>
      </w:r>
      <w:r w:rsidRPr="000D53AB">
        <w:rPr>
          <w:lang w:val="es-AR"/>
        </w:rPr>
        <w:t xml:space="preserve">pozos </w:t>
      </w:r>
      <w:r w:rsidR="00981343">
        <w:rPr>
          <w:lang w:val="es-AR"/>
        </w:rPr>
        <w:t xml:space="preserve">de </w:t>
      </w:r>
      <w:r w:rsidR="00CB1DEA">
        <w:rPr>
          <w:i/>
          <w:lang w:val="es-AR"/>
        </w:rPr>
        <w:t xml:space="preserve">shale gas </w:t>
      </w:r>
      <w:r w:rsidRPr="000D53AB">
        <w:rPr>
          <w:lang w:val="es-AR"/>
        </w:rPr>
        <w:t xml:space="preserve">que se planean perforar en el marco del Plan </w:t>
      </w:r>
      <w:r w:rsidRPr="00482E7D">
        <w:rPr>
          <w:lang w:val="es-AR"/>
        </w:rPr>
        <w:t>Gas, se consideró un pozo tipo que representa el promedio de las diferentes características de los pozos proyectados</w:t>
      </w:r>
      <w:r w:rsidR="00A122B4" w:rsidRPr="00482E7D">
        <w:rPr>
          <w:rStyle w:val="Refdenotaalpie"/>
          <w:lang w:val="es-AR"/>
        </w:rPr>
        <w:footnoteReference w:id="3"/>
      </w:r>
      <w:r w:rsidRPr="00482E7D">
        <w:rPr>
          <w:lang w:val="es-AR"/>
        </w:rPr>
        <w:t>.</w:t>
      </w:r>
    </w:p>
    <w:p w14:paraId="537EC008" w14:textId="2D0231C6" w:rsidR="000D53AB" w:rsidRPr="000D53AB" w:rsidRDefault="000D53AB" w:rsidP="000D53AB">
      <w:pPr>
        <w:jc w:val="both"/>
        <w:rPr>
          <w:lang w:val="es-AR"/>
        </w:rPr>
      </w:pPr>
      <w:r w:rsidRPr="000D53AB">
        <w:rPr>
          <w:lang w:val="es-AR"/>
        </w:rPr>
        <w:t xml:space="preserve">Para las 4 etapas de construcción del pozo tipo (armado de </w:t>
      </w:r>
      <w:r w:rsidR="001759B6">
        <w:rPr>
          <w:lang w:val="es-AR"/>
        </w:rPr>
        <w:t xml:space="preserve">la </w:t>
      </w:r>
      <w:r w:rsidRPr="000D53AB">
        <w:rPr>
          <w:lang w:val="es-AR"/>
        </w:rPr>
        <w:t>locación, perforación, terminación y bajada de instalación final</w:t>
      </w:r>
      <w:r w:rsidR="001759B6">
        <w:rPr>
          <w:rStyle w:val="Refdenotaalpie"/>
          <w:lang w:val="es-AR"/>
        </w:rPr>
        <w:footnoteReference w:id="4"/>
      </w:r>
      <w:r w:rsidRPr="000D53AB">
        <w:rPr>
          <w:lang w:val="es-AR"/>
        </w:rPr>
        <w:t>) se identificaron los principales bienes y servicios a demandar, y mediante la utilización del gasto promedio por pozo en l</w:t>
      </w:r>
      <w:r w:rsidR="00CB1DEA">
        <w:rPr>
          <w:lang w:val="es-AR"/>
        </w:rPr>
        <w:t xml:space="preserve">os </w:t>
      </w:r>
      <w:r w:rsidR="00482E7D">
        <w:rPr>
          <w:lang w:val="es-AR"/>
        </w:rPr>
        <w:t>últimos</w:t>
      </w:r>
      <w:r w:rsidR="00907C92">
        <w:rPr>
          <w:lang w:val="es-AR"/>
        </w:rPr>
        <w:t xml:space="preserve"> </w:t>
      </w:r>
      <w:r w:rsidR="00C20A1D">
        <w:rPr>
          <w:lang w:val="es-AR"/>
        </w:rPr>
        <w:t xml:space="preserve">pozos </w:t>
      </w:r>
      <w:r w:rsidR="00CB1DEA">
        <w:rPr>
          <w:lang w:val="es-AR"/>
        </w:rPr>
        <w:t xml:space="preserve">de </w:t>
      </w:r>
      <w:r w:rsidR="00CB1DEA" w:rsidRPr="00482E7D">
        <w:rPr>
          <w:i/>
          <w:lang w:val="es-AR"/>
        </w:rPr>
        <w:t>shale</w:t>
      </w:r>
      <w:r w:rsidR="00CB1DEA">
        <w:rPr>
          <w:lang w:val="es-AR"/>
        </w:rPr>
        <w:t xml:space="preserve"> </w:t>
      </w:r>
      <w:r w:rsidR="00482E7D">
        <w:rPr>
          <w:i/>
          <w:lang w:val="es-AR"/>
        </w:rPr>
        <w:t xml:space="preserve">oil </w:t>
      </w:r>
      <w:r w:rsidR="00482E7D">
        <w:rPr>
          <w:lang w:val="es-AR"/>
        </w:rPr>
        <w:t xml:space="preserve">y </w:t>
      </w:r>
      <w:r w:rsidR="00482E7D">
        <w:rPr>
          <w:i/>
          <w:lang w:val="es-AR"/>
        </w:rPr>
        <w:t xml:space="preserve">shale gas </w:t>
      </w:r>
      <w:r w:rsidRPr="000D53AB">
        <w:rPr>
          <w:lang w:val="es-AR"/>
        </w:rPr>
        <w:t xml:space="preserve">de </w:t>
      </w:r>
      <w:r w:rsidRPr="00907C92">
        <w:rPr>
          <w:lang w:val="es-AR"/>
        </w:rPr>
        <w:t xml:space="preserve">YPF </w:t>
      </w:r>
      <w:r w:rsidR="00482E7D" w:rsidRPr="00907C92">
        <w:rPr>
          <w:lang w:val="es-AR"/>
        </w:rPr>
        <w:t>d</w:t>
      </w:r>
      <w:r w:rsidRPr="00907C92">
        <w:rPr>
          <w:lang w:val="es-AR"/>
        </w:rPr>
        <w:t xml:space="preserve">el </w:t>
      </w:r>
      <w:r w:rsidR="0010041D" w:rsidRPr="00907C92">
        <w:rPr>
          <w:lang w:val="es-AR"/>
        </w:rPr>
        <w:t xml:space="preserve">año </w:t>
      </w:r>
      <w:r w:rsidRPr="00907C92">
        <w:rPr>
          <w:lang w:val="es-AR"/>
        </w:rPr>
        <w:t>20</w:t>
      </w:r>
      <w:r w:rsidR="00482E7D" w:rsidRPr="00907C92">
        <w:rPr>
          <w:lang w:val="es-AR"/>
        </w:rPr>
        <w:t>20</w:t>
      </w:r>
      <w:r w:rsidRPr="00907C92">
        <w:rPr>
          <w:lang w:val="es-AR"/>
        </w:rPr>
        <w:t>, se estableció</w:t>
      </w:r>
      <w:r w:rsidRPr="000D53AB">
        <w:rPr>
          <w:lang w:val="es-AR"/>
        </w:rPr>
        <w:t xml:space="preserve"> la base estimada de participación nacional dentro de la cadena </w:t>
      </w:r>
      <w:r w:rsidRPr="000D53AB">
        <w:rPr>
          <w:lang w:val="es-AR"/>
        </w:rPr>
        <w:lastRenderedPageBreak/>
        <w:t>de valor primaria (porcentaje de participación nacional sin considerar el segundo anillo de proveedores). A continuación, se describen brevemente cuales son los servicios principales y el mercado en el que se estima que serán contratados:</w:t>
      </w:r>
    </w:p>
    <w:p w14:paraId="4099CFAB" w14:textId="77777777" w:rsidR="000D53AB" w:rsidRPr="000D53AB" w:rsidRDefault="000D53AB" w:rsidP="000D53AB">
      <w:pPr>
        <w:jc w:val="both"/>
        <w:rPr>
          <w:lang w:val="es-AR"/>
        </w:rPr>
      </w:pPr>
      <w:r w:rsidRPr="00D715DF">
        <w:rPr>
          <w:highlight w:val="yellow"/>
          <w:lang w:val="es-AR"/>
        </w:rPr>
        <w:t>Armado de locaciones</w:t>
      </w:r>
      <w:r w:rsidRPr="000D53AB">
        <w:rPr>
          <w:lang w:val="es-AR"/>
        </w:rPr>
        <w:t>:</w:t>
      </w:r>
    </w:p>
    <w:p w14:paraId="67C0A803" w14:textId="42B74F3E" w:rsidR="000D53AB" w:rsidRPr="000D53AB" w:rsidRDefault="009D492C" w:rsidP="000D53AB">
      <w:pPr>
        <w:jc w:val="both"/>
        <w:rPr>
          <w:lang w:val="es-AR"/>
        </w:rPr>
      </w:pPr>
      <w:r w:rsidRPr="00D715DF">
        <w:rPr>
          <w:highlight w:val="yellow"/>
          <w:lang w:val="es-AR"/>
        </w:rPr>
        <w:t>R</w:t>
      </w:r>
      <w:r w:rsidR="000D53AB" w:rsidRPr="00D715DF">
        <w:rPr>
          <w:highlight w:val="yellow"/>
          <w:lang w:val="es-AR"/>
        </w:rPr>
        <w:t xml:space="preserve">epresenta el </w:t>
      </w:r>
      <w:r w:rsidR="00907C92" w:rsidRPr="00D715DF">
        <w:rPr>
          <w:highlight w:val="yellow"/>
          <w:lang w:val="es-AR"/>
        </w:rPr>
        <w:t>0,5</w:t>
      </w:r>
      <w:r w:rsidR="000D53AB" w:rsidRPr="00D715DF">
        <w:rPr>
          <w:highlight w:val="yellow"/>
          <w:lang w:val="es-AR"/>
        </w:rPr>
        <w:t>% del costo del pozo tipo</w:t>
      </w:r>
      <w:r w:rsidR="000D53AB" w:rsidRPr="00907C92">
        <w:rPr>
          <w:lang w:val="es-AR"/>
        </w:rPr>
        <w:t>. Dicha fase se compone principalmente del servicio de movimiento de suelos, el cual</w:t>
      </w:r>
      <w:r w:rsidR="000D53AB" w:rsidRPr="000D53AB">
        <w:rPr>
          <w:lang w:val="es-AR"/>
        </w:rPr>
        <w:t xml:space="preserve"> se prevé que estará provisto exclusi</w:t>
      </w:r>
      <w:r w:rsidR="004E7E43">
        <w:rPr>
          <w:lang w:val="es-AR"/>
        </w:rPr>
        <w:t>vamente por empresas nacionales</w:t>
      </w:r>
      <w:r w:rsidR="000D53AB" w:rsidRPr="000D53AB">
        <w:rPr>
          <w:lang w:val="es-AR"/>
        </w:rPr>
        <w:t>.</w:t>
      </w:r>
    </w:p>
    <w:p w14:paraId="64FA7393" w14:textId="77777777" w:rsidR="000D53AB" w:rsidRPr="000D53AB" w:rsidRDefault="000D53AB" w:rsidP="000D53AB">
      <w:pPr>
        <w:jc w:val="both"/>
        <w:rPr>
          <w:lang w:val="es-AR"/>
        </w:rPr>
      </w:pPr>
      <w:r w:rsidRPr="00D715DF">
        <w:rPr>
          <w:highlight w:val="yellow"/>
          <w:lang w:val="es-AR"/>
        </w:rPr>
        <w:t>Perforación</w:t>
      </w:r>
      <w:r w:rsidRPr="000D53AB">
        <w:rPr>
          <w:lang w:val="es-AR"/>
        </w:rPr>
        <w:t>:</w:t>
      </w:r>
    </w:p>
    <w:p w14:paraId="7730AB3C" w14:textId="05949CD9" w:rsidR="000D53AB" w:rsidRPr="000D53AB" w:rsidRDefault="000D53AB" w:rsidP="000D53AB">
      <w:pPr>
        <w:jc w:val="both"/>
        <w:rPr>
          <w:lang w:val="es-AR"/>
        </w:rPr>
      </w:pPr>
      <w:r w:rsidRPr="00AF100B">
        <w:rPr>
          <w:lang w:val="es-AR"/>
        </w:rPr>
        <w:t xml:space="preserve">La presente etapa </w:t>
      </w:r>
      <w:r w:rsidRPr="00D72CC7">
        <w:rPr>
          <w:lang w:val="es-AR"/>
        </w:rPr>
        <w:t xml:space="preserve">abarca el </w:t>
      </w:r>
      <w:r w:rsidR="00907C92" w:rsidRPr="00D715DF">
        <w:rPr>
          <w:highlight w:val="yellow"/>
          <w:lang w:val="es-AR"/>
        </w:rPr>
        <w:t>4</w:t>
      </w:r>
      <w:r w:rsidRPr="00D715DF">
        <w:rPr>
          <w:highlight w:val="yellow"/>
          <w:lang w:val="es-AR"/>
        </w:rPr>
        <w:t>7% del costo del pozo</w:t>
      </w:r>
      <w:r w:rsidRPr="00D72CC7">
        <w:rPr>
          <w:lang w:val="es-AR"/>
        </w:rPr>
        <w:t xml:space="preserve">. </w:t>
      </w:r>
      <w:r w:rsidRPr="00D715DF">
        <w:rPr>
          <w:highlight w:val="yellow"/>
          <w:lang w:val="es-AR"/>
        </w:rPr>
        <w:t xml:space="preserve">El </w:t>
      </w:r>
      <w:r w:rsidR="00A51E04" w:rsidRPr="00D715DF">
        <w:rPr>
          <w:highlight w:val="yellow"/>
          <w:lang w:val="es-AR"/>
        </w:rPr>
        <w:t>72</w:t>
      </w:r>
      <w:r w:rsidRPr="00D715DF">
        <w:rPr>
          <w:highlight w:val="yellow"/>
          <w:lang w:val="es-AR"/>
        </w:rPr>
        <w:t xml:space="preserve">% de la presente etapa se estima que se </w:t>
      </w:r>
      <w:r w:rsidR="006120B2" w:rsidRPr="00D715DF">
        <w:rPr>
          <w:highlight w:val="yellow"/>
          <w:lang w:val="es-AR"/>
        </w:rPr>
        <w:t xml:space="preserve">realiza </w:t>
      </w:r>
      <w:r w:rsidRPr="00D715DF">
        <w:rPr>
          <w:highlight w:val="yellow"/>
          <w:lang w:val="es-AR"/>
        </w:rPr>
        <w:t>con empresas internacionales</w:t>
      </w:r>
      <w:r w:rsidRPr="00D72CC7">
        <w:rPr>
          <w:lang w:val="es-AR"/>
        </w:rPr>
        <w:t>, motivado</w:t>
      </w:r>
      <w:r w:rsidRPr="00AF100B">
        <w:rPr>
          <w:lang w:val="es-AR"/>
        </w:rPr>
        <w:t xml:space="preserve"> por los servicios de perforación con equipos </w:t>
      </w:r>
      <w:proofErr w:type="spellStart"/>
      <w:r w:rsidRPr="00AF100B">
        <w:rPr>
          <w:lang w:val="es-AR"/>
        </w:rPr>
        <w:t>high</w:t>
      </w:r>
      <w:proofErr w:type="spellEnd"/>
      <w:r w:rsidRPr="00AF100B">
        <w:rPr>
          <w:lang w:val="es-AR"/>
        </w:rPr>
        <w:t xml:space="preserve"> </w:t>
      </w:r>
      <w:proofErr w:type="spellStart"/>
      <w:r w:rsidRPr="00AF100B">
        <w:rPr>
          <w:lang w:val="es-AR"/>
        </w:rPr>
        <w:t>spec</w:t>
      </w:r>
      <w:proofErr w:type="spellEnd"/>
      <w:r w:rsidRPr="00AF100B">
        <w:rPr>
          <w:lang w:val="es-AR"/>
        </w:rPr>
        <w:t>, direcciona</w:t>
      </w:r>
      <w:r w:rsidR="00907C92">
        <w:rPr>
          <w:lang w:val="es-AR"/>
        </w:rPr>
        <w:t xml:space="preserve">l, cementación, </w:t>
      </w:r>
      <w:proofErr w:type="spellStart"/>
      <w:r w:rsidR="00907C92">
        <w:rPr>
          <w:lang w:val="es-AR"/>
        </w:rPr>
        <w:t>underbalance</w:t>
      </w:r>
      <w:proofErr w:type="spellEnd"/>
      <w:r w:rsidR="00907C92">
        <w:rPr>
          <w:lang w:val="es-AR"/>
        </w:rPr>
        <w:t>, l</w:t>
      </w:r>
      <w:r w:rsidRPr="00AF100B">
        <w:rPr>
          <w:lang w:val="es-AR"/>
        </w:rPr>
        <w:t xml:space="preserve">odos, que </w:t>
      </w:r>
      <w:r w:rsidRPr="00D715DF">
        <w:rPr>
          <w:highlight w:val="yellow"/>
          <w:lang w:val="es-AR"/>
        </w:rPr>
        <w:t xml:space="preserve">por su complejidad tecnológica no </w:t>
      </w:r>
      <w:r w:rsidR="006120B2" w:rsidRPr="00D715DF">
        <w:rPr>
          <w:highlight w:val="yellow"/>
          <w:lang w:val="es-AR"/>
        </w:rPr>
        <w:t>son</w:t>
      </w:r>
      <w:r w:rsidR="00907C92" w:rsidRPr="00D715DF">
        <w:rPr>
          <w:highlight w:val="yellow"/>
          <w:lang w:val="es-AR"/>
        </w:rPr>
        <w:t xml:space="preserve"> provistos</w:t>
      </w:r>
      <w:r w:rsidR="00907C92">
        <w:rPr>
          <w:lang w:val="es-AR"/>
        </w:rPr>
        <w:t xml:space="preserve"> </w:t>
      </w:r>
      <w:r w:rsidR="006120B2">
        <w:rPr>
          <w:lang w:val="es-AR"/>
        </w:rPr>
        <w:t xml:space="preserve">hoy </w:t>
      </w:r>
      <w:r w:rsidR="00907C92">
        <w:rPr>
          <w:lang w:val="es-AR"/>
        </w:rPr>
        <w:t>por el mercado local</w:t>
      </w:r>
      <w:r w:rsidRPr="00AF100B">
        <w:rPr>
          <w:lang w:val="es-AR"/>
        </w:rPr>
        <w:t xml:space="preserve">. </w:t>
      </w:r>
      <w:r w:rsidRPr="00084926">
        <w:rPr>
          <w:highlight w:val="yellow"/>
          <w:lang w:val="es-AR"/>
        </w:rPr>
        <w:t xml:space="preserve">El porcentaje restante corresponden </w:t>
      </w:r>
      <w:r w:rsidR="007657CF" w:rsidRPr="00084926">
        <w:rPr>
          <w:highlight w:val="yellow"/>
          <w:lang w:val="es-AR"/>
        </w:rPr>
        <w:t xml:space="preserve">principalmente </w:t>
      </w:r>
      <w:r w:rsidRPr="00084926">
        <w:rPr>
          <w:highlight w:val="yellow"/>
          <w:lang w:val="es-AR"/>
        </w:rPr>
        <w:t xml:space="preserve">a la </w:t>
      </w:r>
      <w:r w:rsidR="00A51E04" w:rsidRPr="00084926">
        <w:rPr>
          <w:highlight w:val="yellow"/>
          <w:lang w:val="es-AR"/>
        </w:rPr>
        <w:t xml:space="preserve">fabricación de cañerías de acero y </w:t>
      </w:r>
      <w:r w:rsidRPr="00084926">
        <w:rPr>
          <w:highlight w:val="yellow"/>
          <w:lang w:val="es-AR"/>
        </w:rPr>
        <w:t>provisión de cabezales</w:t>
      </w:r>
      <w:r w:rsidRPr="00AF100B">
        <w:rPr>
          <w:lang w:val="es-AR"/>
        </w:rPr>
        <w:t xml:space="preserve"> la cual puede ser provista tanto por compañías locales como nacionales y otros servicios de logística, tratamiento de residuos y remediación de suelos que normalmente se contratan a </w:t>
      </w:r>
      <w:r w:rsidRPr="00C70BA6">
        <w:rPr>
          <w:highlight w:val="yellow"/>
          <w:lang w:val="es-AR"/>
        </w:rPr>
        <w:t>empresas regionales</w:t>
      </w:r>
      <w:r w:rsidRPr="00AF100B">
        <w:rPr>
          <w:lang w:val="es-AR"/>
        </w:rPr>
        <w:t>.</w:t>
      </w:r>
      <w:r w:rsidR="007657CF">
        <w:rPr>
          <w:lang w:val="es-AR"/>
        </w:rPr>
        <w:t xml:space="preserve"> </w:t>
      </w:r>
      <w:r w:rsidR="00A204C0" w:rsidRPr="00A204C0">
        <w:rPr>
          <w:lang w:val="es-AR"/>
        </w:rPr>
        <w:t xml:space="preserve">Un porcentaje de los productos adquiridos a la empresa </w:t>
      </w:r>
      <w:proofErr w:type="spellStart"/>
      <w:r w:rsidR="00A204C0" w:rsidRPr="00C70BA6">
        <w:rPr>
          <w:highlight w:val="yellow"/>
          <w:lang w:val="es-AR"/>
        </w:rPr>
        <w:t>Siderca</w:t>
      </w:r>
      <w:proofErr w:type="spellEnd"/>
      <w:r w:rsidR="00A204C0" w:rsidRPr="00C70BA6">
        <w:rPr>
          <w:highlight w:val="yellow"/>
          <w:lang w:val="es-AR"/>
        </w:rPr>
        <w:t xml:space="preserve"> son importados desde otras plantas del grupo Tenaris</w:t>
      </w:r>
      <w:r w:rsidR="00A204C0" w:rsidRPr="00A204C0">
        <w:rPr>
          <w:lang w:val="es-AR"/>
        </w:rPr>
        <w:t xml:space="preserve">, sin embargo, a los fines de este documento hemos considerado todo el aporte de dicho grupo como nacional dado que </w:t>
      </w:r>
      <w:proofErr w:type="spellStart"/>
      <w:r w:rsidR="00A204C0" w:rsidRPr="00A204C0">
        <w:rPr>
          <w:lang w:val="es-AR"/>
        </w:rPr>
        <w:t>Siderca</w:t>
      </w:r>
      <w:proofErr w:type="spellEnd"/>
      <w:r w:rsidR="00A204C0" w:rsidRPr="00A204C0">
        <w:rPr>
          <w:lang w:val="es-AR"/>
        </w:rPr>
        <w:t xml:space="preserve"> es quien factura a YPF</w:t>
      </w:r>
      <w:r w:rsidR="007657CF">
        <w:rPr>
          <w:lang w:val="es-AR"/>
        </w:rPr>
        <w:t>.</w:t>
      </w:r>
    </w:p>
    <w:p w14:paraId="21261F06" w14:textId="77777777" w:rsidR="000D53AB" w:rsidRPr="000D53AB" w:rsidRDefault="000D53AB" w:rsidP="000D53AB">
      <w:pPr>
        <w:jc w:val="both"/>
        <w:rPr>
          <w:lang w:val="es-AR"/>
        </w:rPr>
      </w:pPr>
      <w:r w:rsidRPr="00AD1D8F">
        <w:rPr>
          <w:highlight w:val="yellow"/>
          <w:lang w:val="es-AR"/>
        </w:rPr>
        <w:t>Terminación</w:t>
      </w:r>
      <w:r w:rsidRPr="000D53AB">
        <w:rPr>
          <w:lang w:val="es-AR"/>
        </w:rPr>
        <w:t>:</w:t>
      </w:r>
    </w:p>
    <w:p w14:paraId="4E80F754" w14:textId="38BF46C4" w:rsidR="000D53AB" w:rsidRPr="000D53AB" w:rsidRDefault="000D53AB" w:rsidP="000D53AB">
      <w:pPr>
        <w:jc w:val="both"/>
        <w:rPr>
          <w:lang w:val="es-AR"/>
        </w:rPr>
      </w:pPr>
      <w:r w:rsidRPr="002E0F87">
        <w:rPr>
          <w:highlight w:val="yellow"/>
          <w:lang w:val="es-AR"/>
        </w:rPr>
        <w:t xml:space="preserve">El </w:t>
      </w:r>
      <w:r w:rsidR="00907C92" w:rsidRPr="002E0F87">
        <w:rPr>
          <w:highlight w:val="yellow"/>
          <w:lang w:val="es-AR"/>
        </w:rPr>
        <w:t>48</w:t>
      </w:r>
      <w:r w:rsidRPr="002E0F87">
        <w:rPr>
          <w:highlight w:val="yellow"/>
          <w:lang w:val="es-AR"/>
        </w:rPr>
        <w:t xml:space="preserve">% del costo del pozo tipo </w:t>
      </w:r>
      <w:r w:rsidR="00A122B4" w:rsidRPr="002E0F87">
        <w:rPr>
          <w:highlight w:val="yellow"/>
          <w:lang w:val="es-AR"/>
        </w:rPr>
        <w:t>shale gas</w:t>
      </w:r>
      <w:r w:rsidR="00A122B4" w:rsidRPr="00AF100B">
        <w:rPr>
          <w:lang w:val="es-AR"/>
        </w:rPr>
        <w:t xml:space="preserve"> </w:t>
      </w:r>
      <w:r w:rsidRPr="00AF100B">
        <w:rPr>
          <w:lang w:val="es-AR"/>
        </w:rPr>
        <w:t xml:space="preserve">está contemplado en la etapa de terminación. </w:t>
      </w:r>
      <w:r w:rsidRPr="001343BB">
        <w:rPr>
          <w:highlight w:val="yellow"/>
          <w:lang w:val="es-AR"/>
        </w:rPr>
        <w:t xml:space="preserve">El </w:t>
      </w:r>
      <w:r w:rsidR="00907C92" w:rsidRPr="001343BB">
        <w:rPr>
          <w:highlight w:val="yellow"/>
          <w:lang w:val="es-AR"/>
        </w:rPr>
        <w:t>56</w:t>
      </w:r>
      <w:r w:rsidRPr="001343BB">
        <w:rPr>
          <w:highlight w:val="yellow"/>
          <w:lang w:val="es-AR"/>
        </w:rPr>
        <w:t xml:space="preserve">% de la etapa se estima que será realizado por empresas internacionales, principalmente por la provisión de servicios de fractura, </w:t>
      </w:r>
      <w:proofErr w:type="spellStart"/>
      <w:r w:rsidRPr="001343BB">
        <w:rPr>
          <w:highlight w:val="yellow"/>
          <w:lang w:val="es-AR"/>
        </w:rPr>
        <w:t>wireline</w:t>
      </w:r>
      <w:proofErr w:type="spellEnd"/>
      <w:r w:rsidRPr="001343BB">
        <w:rPr>
          <w:highlight w:val="yellow"/>
          <w:lang w:val="es-AR"/>
        </w:rPr>
        <w:t xml:space="preserve"> y tapones de fractura</w:t>
      </w:r>
      <w:r w:rsidRPr="000D53AB">
        <w:rPr>
          <w:lang w:val="es-AR"/>
        </w:rPr>
        <w:t>. Los rotados/limpieza de los tapones se realizarían en pa</w:t>
      </w:r>
      <w:r w:rsidR="00AF100B">
        <w:rPr>
          <w:lang w:val="es-AR"/>
        </w:rPr>
        <w:t>rte con AESA mediante el uso de un equipo de</w:t>
      </w:r>
      <w:r w:rsidRPr="000D53AB">
        <w:rPr>
          <w:lang w:val="es-AR"/>
        </w:rPr>
        <w:t xml:space="preserve"> </w:t>
      </w:r>
      <w:proofErr w:type="spellStart"/>
      <w:r w:rsidRPr="000D53AB">
        <w:rPr>
          <w:lang w:val="es-AR"/>
        </w:rPr>
        <w:t>snubbing</w:t>
      </w:r>
      <w:proofErr w:type="spellEnd"/>
      <w:r w:rsidRPr="000D53AB">
        <w:rPr>
          <w:lang w:val="es-AR"/>
        </w:rPr>
        <w:t xml:space="preserve"> y en parte por compañías internacionales mediante el uso de </w:t>
      </w:r>
      <w:proofErr w:type="spellStart"/>
      <w:r w:rsidRPr="000D53AB">
        <w:rPr>
          <w:lang w:val="es-AR"/>
        </w:rPr>
        <w:t>coiled</w:t>
      </w:r>
      <w:proofErr w:type="spellEnd"/>
      <w:r w:rsidRPr="000D53AB">
        <w:rPr>
          <w:lang w:val="es-AR"/>
        </w:rPr>
        <w:t xml:space="preserve"> </w:t>
      </w:r>
      <w:proofErr w:type="spellStart"/>
      <w:r w:rsidRPr="000D53AB">
        <w:rPr>
          <w:lang w:val="es-AR"/>
        </w:rPr>
        <w:t>tubing</w:t>
      </w:r>
      <w:proofErr w:type="spellEnd"/>
      <w:r w:rsidRPr="000D53AB">
        <w:rPr>
          <w:lang w:val="es-AR"/>
        </w:rPr>
        <w:t xml:space="preserve">. </w:t>
      </w:r>
      <w:r w:rsidRPr="00B309ED">
        <w:rPr>
          <w:highlight w:val="yellow"/>
          <w:lang w:val="es-AR"/>
        </w:rPr>
        <w:t xml:space="preserve">En cuanto al agente de sostén, se prevé su provisión por parte de empresas </w:t>
      </w:r>
      <w:r w:rsidR="00907C92" w:rsidRPr="00B309ED">
        <w:rPr>
          <w:highlight w:val="yellow"/>
          <w:lang w:val="es-AR"/>
        </w:rPr>
        <w:t>nacionales en su gran mayoría</w:t>
      </w:r>
      <w:r w:rsidRPr="00B309ED">
        <w:rPr>
          <w:highlight w:val="yellow"/>
          <w:lang w:val="es-AR"/>
        </w:rPr>
        <w:t>.</w:t>
      </w:r>
      <w:r w:rsidRPr="000D53AB">
        <w:rPr>
          <w:lang w:val="es-AR"/>
        </w:rPr>
        <w:t xml:space="preserve"> Otros costos logísticos como la provisión de agua o transporte de cargas sólidas históricamente fueron provistos por empresas nacionales y regionales.</w:t>
      </w:r>
    </w:p>
    <w:p w14:paraId="449D3CAA" w14:textId="77777777" w:rsidR="000D53AB" w:rsidRPr="000D53AB" w:rsidRDefault="000D53AB" w:rsidP="000D53AB">
      <w:pPr>
        <w:jc w:val="both"/>
        <w:rPr>
          <w:lang w:val="es-AR"/>
        </w:rPr>
      </w:pPr>
      <w:r w:rsidRPr="00063143">
        <w:rPr>
          <w:highlight w:val="yellow"/>
          <w:lang w:val="es-AR"/>
        </w:rPr>
        <w:t>Bajada de Instalación final y Sistemas de Producción</w:t>
      </w:r>
      <w:r w:rsidRPr="000D53AB">
        <w:rPr>
          <w:lang w:val="es-AR"/>
        </w:rPr>
        <w:t>:</w:t>
      </w:r>
    </w:p>
    <w:p w14:paraId="5F2D15DB" w14:textId="14CF6BD8" w:rsidR="000D53AB" w:rsidRDefault="00907C92" w:rsidP="000D53AB">
      <w:pPr>
        <w:jc w:val="both"/>
        <w:rPr>
          <w:lang w:val="es-AR"/>
        </w:rPr>
      </w:pPr>
      <w:r w:rsidRPr="00063143">
        <w:rPr>
          <w:highlight w:val="yellow"/>
          <w:lang w:val="es-AR"/>
        </w:rPr>
        <w:t>El 4,3</w:t>
      </w:r>
      <w:r w:rsidR="000D53AB" w:rsidRPr="00063143">
        <w:rPr>
          <w:highlight w:val="yellow"/>
          <w:lang w:val="es-AR"/>
        </w:rPr>
        <w:t>% del co</w:t>
      </w:r>
      <w:r w:rsidR="00BE1BB2" w:rsidRPr="00063143">
        <w:rPr>
          <w:highlight w:val="yellow"/>
          <w:lang w:val="es-AR"/>
        </w:rPr>
        <w:t>s</w:t>
      </w:r>
      <w:r w:rsidR="000D53AB" w:rsidRPr="00063143">
        <w:rPr>
          <w:highlight w:val="yellow"/>
          <w:lang w:val="es-AR"/>
        </w:rPr>
        <w:t>to pozo</w:t>
      </w:r>
      <w:r w:rsidR="000D53AB" w:rsidRPr="000D53AB">
        <w:rPr>
          <w:lang w:val="es-AR"/>
        </w:rPr>
        <w:t xml:space="preserve"> se encuentra en esta última etapa. </w:t>
      </w:r>
      <w:r w:rsidR="000D53AB" w:rsidRPr="00857579">
        <w:rPr>
          <w:highlight w:val="yellow"/>
          <w:lang w:val="es-AR"/>
        </w:rPr>
        <w:t xml:space="preserve">Entre los servicios, se considera la utilización de equipos de </w:t>
      </w:r>
      <w:proofErr w:type="spellStart"/>
      <w:r w:rsidR="000D53AB" w:rsidRPr="00857579">
        <w:rPr>
          <w:highlight w:val="yellow"/>
          <w:lang w:val="es-AR"/>
        </w:rPr>
        <w:t>workovers</w:t>
      </w:r>
      <w:proofErr w:type="spellEnd"/>
      <w:r w:rsidR="000D53AB" w:rsidRPr="00857579">
        <w:rPr>
          <w:highlight w:val="yellow"/>
          <w:lang w:val="es-AR"/>
        </w:rPr>
        <w:t xml:space="preserve">, </w:t>
      </w:r>
      <w:proofErr w:type="spellStart"/>
      <w:r w:rsidR="000D53AB" w:rsidRPr="00857579">
        <w:rPr>
          <w:highlight w:val="yellow"/>
          <w:lang w:val="es-AR"/>
        </w:rPr>
        <w:t>pullings</w:t>
      </w:r>
      <w:proofErr w:type="spellEnd"/>
      <w:r w:rsidR="000D53AB" w:rsidRPr="00857579">
        <w:rPr>
          <w:highlight w:val="yellow"/>
          <w:lang w:val="es-AR"/>
        </w:rPr>
        <w:t xml:space="preserve"> y </w:t>
      </w:r>
      <w:proofErr w:type="spellStart"/>
      <w:r w:rsidR="000D53AB" w:rsidRPr="00857579">
        <w:rPr>
          <w:highlight w:val="yellow"/>
          <w:lang w:val="es-AR"/>
        </w:rPr>
        <w:t>slickline</w:t>
      </w:r>
      <w:proofErr w:type="spellEnd"/>
      <w:r w:rsidR="000D53AB" w:rsidRPr="00857579">
        <w:rPr>
          <w:highlight w:val="yellow"/>
          <w:lang w:val="es-AR"/>
        </w:rPr>
        <w:t>, participando empresas nacionales e internacionales, mientras que el apoyo a los equipos corresponde a empresas nacionales/regionales</w:t>
      </w:r>
      <w:r w:rsidR="000D53AB" w:rsidRPr="000D53AB">
        <w:rPr>
          <w:lang w:val="es-AR"/>
        </w:rPr>
        <w:t>. Los materiales de la instalación final corresponden principalmente a la provisión de cañerías de fabricación nacional mientras que los sistemas de producción serían importados.</w:t>
      </w:r>
    </w:p>
    <w:p w14:paraId="7468F7D6" w14:textId="2FBE0297" w:rsidR="00BF3842" w:rsidRDefault="00A51E04" w:rsidP="000D53AB">
      <w:pPr>
        <w:jc w:val="both"/>
        <w:rPr>
          <w:lang w:val="es-AR"/>
        </w:rPr>
      </w:pPr>
      <w:r>
        <w:rPr>
          <w:noProof/>
          <w:lang w:val="es-AR" w:eastAsia="es-AR"/>
        </w:rPr>
        <w:lastRenderedPageBreak/>
        <w:drawing>
          <wp:inline distT="0" distB="0" distL="0" distR="0" wp14:anchorId="277616F3" wp14:editId="43F41B3C">
            <wp:extent cx="5257800" cy="3514719"/>
            <wp:effectExtent l="0" t="0" r="0" b="10160"/>
            <wp:docPr id="1" name="Gráfico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A7CC85-0707-43FB-84DC-736A402794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8C3A44" w14:textId="1DCDE6F1" w:rsidR="008E01DB" w:rsidRDefault="008E01DB" w:rsidP="008E01DB">
      <w:pPr>
        <w:jc w:val="center"/>
        <w:rPr>
          <w:lang w:val="es-AR"/>
        </w:rPr>
      </w:pPr>
      <w:r w:rsidRPr="008E01DB">
        <w:rPr>
          <w:sz w:val="18"/>
          <w:lang w:val="es-AR"/>
        </w:rPr>
        <w:t>Nota</w:t>
      </w:r>
      <w:r>
        <w:rPr>
          <w:rStyle w:val="Refdenotaalpie"/>
          <w:lang w:val="es-AR"/>
        </w:rPr>
        <w:footnoteReference w:id="5"/>
      </w:r>
    </w:p>
    <w:p w14:paraId="4FA5239A" w14:textId="13C7BBBA" w:rsidR="00143BA5" w:rsidRPr="000D53AB" w:rsidRDefault="00E17C31" w:rsidP="000D53AB">
      <w:pPr>
        <w:jc w:val="both"/>
        <w:rPr>
          <w:lang w:val="es-AR"/>
        </w:rPr>
      </w:pPr>
      <w:r>
        <w:rPr>
          <w:lang w:val="es-AR"/>
        </w:rPr>
        <w:t>P</w:t>
      </w:r>
      <w:r w:rsidR="00F903DC">
        <w:rPr>
          <w:lang w:val="es-AR"/>
        </w:rPr>
        <w:t>ara</w:t>
      </w:r>
      <w:r w:rsidR="000D53AB" w:rsidRPr="000D53AB">
        <w:rPr>
          <w:lang w:val="es-AR"/>
        </w:rPr>
        <w:t xml:space="preserve"> los </w:t>
      </w:r>
      <w:r w:rsidR="000D53AB" w:rsidRPr="00DB6BEE">
        <w:rPr>
          <w:highlight w:val="yellow"/>
          <w:lang w:val="es-AR"/>
        </w:rPr>
        <w:t xml:space="preserve">costos </w:t>
      </w:r>
      <w:r w:rsidR="006C46FC" w:rsidRPr="00DB6BEE">
        <w:rPr>
          <w:highlight w:val="yellow"/>
          <w:lang w:val="es-AR"/>
        </w:rPr>
        <w:t>operación y mantenimiento</w:t>
      </w:r>
      <w:r w:rsidR="006C46FC">
        <w:rPr>
          <w:lang w:val="es-AR"/>
        </w:rPr>
        <w:t xml:space="preserve"> de pozos y baterías (</w:t>
      </w:r>
      <w:proofErr w:type="spellStart"/>
      <w:r w:rsidR="006C46FC">
        <w:rPr>
          <w:lang w:val="es-AR"/>
        </w:rPr>
        <w:t>opex</w:t>
      </w:r>
      <w:proofErr w:type="spellEnd"/>
      <w:r w:rsidR="006C46FC">
        <w:rPr>
          <w:lang w:val="es-AR"/>
        </w:rPr>
        <w:t>)</w:t>
      </w:r>
      <w:r w:rsidR="000D53AB" w:rsidRPr="000D53AB">
        <w:rPr>
          <w:lang w:val="es-AR"/>
        </w:rPr>
        <w:t xml:space="preserve">, </w:t>
      </w:r>
      <w:r w:rsidR="006C46FC">
        <w:rPr>
          <w:lang w:val="es-AR"/>
        </w:rPr>
        <w:t xml:space="preserve">se toman las estructuras de los costos </w:t>
      </w:r>
      <w:r w:rsidR="00F903DC">
        <w:rPr>
          <w:lang w:val="es-AR"/>
        </w:rPr>
        <w:t xml:space="preserve">en </w:t>
      </w:r>
      <w:r w:rsidR="006C46FC">
        <w:rPr>
          <w:lang w:val="es-AR"/>
        </w:rPr>
        <w:t xml:space="preserve">las áreas con explotación de </w:t>
      </w:r>
      <w:r w:rsidR="006C46FC">
        <w:rPr>
          <w:i/>
          <w:lang w:val="es-AR"/>
        </w:rPr>
        <w:t>shale gas</w:t>
      </w:r>
      <w:r w:rsidR="006C46FC">
        <w:rPr>
          <w:lang w:val="es-AR"/>
        </w:rPr>
        <w:t xml:space="preserve"> como </w:t>
      </w:r>
      <w:r w:rsidR="00B959C3">
        <w:rPr>
          <w:lang w:val="es-AR"/>
        </w:rPr>
        <w:t>Aguada la Arena, Rincón del Mangrullo y El Orejano</w:t>
      </w:r>
      <w:r w:rsidR="006C46FC">
        <w:rPr>
          <w:lang w:val="es-AR"/>
        </w:rPr>
        <w:t>, y se extrapolan a los nuevos desarrollos, ajustando por las últimas negociaciones</w:t>
      </w:r>
      <w:r w:rsidR="00D15A78">
        <w:rPr>
          <w:lang w:val="es-AR"/>
        </w:rPr>
        <w:t xml:space="preserve"> en 2020</w:t>
      </w:r>
      <w:r w:rsidR="006C46FC">
        <w:rPr>
          <w:lang w:val="es-AR"/>
        </w:rPr>
        <w:t xml:space="preserve">. Allí, </w:t>
      </w:r>
      <w:r w:rsidR="00143BA5" w:rsidRPr="00DB6BEE">
        <w:rPr>
          <w:highlight w:val="yellow"/>
          <w:lang w:val="es-AR"/>
        </w:rPr>
        <w:t>el porcentaje de empresas nacionales en los costos operativos dentro de l</w:t>
      </w:r>
      <w:r w:rsidR="006C46FC" w:rsidRPr="00DB6BEE">
        <w:rPr>
          <w:highlight w:val="yellow"/>
          <w:lang w:val="es-AR"/>
        </w:rPr>
        <w:t>a</w:t>
      </w:r>
      <w:r w:rsidR="00143BA5" w:rsidRPr="00DB6BEE">
        <w:rPr>
          <w:highlight w:val="yellow"/>
          <w:lang w:val="es-AR"/>
        </w:rPr>
        <w:t xml:space="preserve">s </w:t>
      </w:r>
      <w:r w:rsidR="006C46FC" w:rsidRPr="00DB6BEE">
        <w:rPr>
          <w:highlight w:val="yellow"/>
          <w:lang w:val="es-AR"/>
        </w:rPr>
        <w:t>áreas n</w:t>
      </w:r>
      <w:r w:rsidR="00143BA5" w:rsidRPr="00DB6BEE">
        <w:rPr>
          <w:highlight w:val="yellow"/>
          <w:lang w:val="es-AR"/>
        </w:rPr>
        <w:t xml:space="preserve">o </w:t>
      </w:r>
      <w:r w:rsidR="006C46FC" w:rsidRPr="00DB6BEE">
        <w:rPr>
          <w:highlight w:val="yellow"/>
          <w:lang w:val="es-AR"/>
        </w:rPr>
        <w:t>c</w:t>
      </w:r>
      <w:r w:rsidR="00143BA5" w:rsidRPr="00DB6BEE">
        <w:rPr>
          <w:highlight w:val="yellow"/>
          <w:lang w:val="es-AR"/>
        </w:rPr>
        <w:t xml:space="preserve">onvencionales de gas </w:t>
      </w:r>
      <w:r w:rsidR="005E1A85" w:rsidRPr="00DB6BEE">
        <w:rPr>
          <w:highlight w:val="yellow"/>
          <w:lang w:val="es-AR"/>
        </w:rPr>
        <w:t>r</w:t>
      </w:r>
      <w:r w:rsidR="00143BA5" w:rsidRPr="00DB6BEE">
        <w:rPr>
          <w:highlight w:val="yellow"/>
          <w:lang w:val="es-AR"/>
        </w:rPr>
        <w:t>ondaría el</w:t>
      </w:r>
      <w:r w:rsidR="00BC7A7D" w:rsidRPr="00DB6BEE">
        <w:rPr>
          <w:highlight w:val="yellow"/>
          <w:lang w:val="es-AR"/>
        </w:rPr>
        <w:t xml:space="preserve"> </w:t>
      </w:r>
      <w:r w:rsidR="0025288B" w:rsidRPr="00DB6BEE">
        <w:rPr>
          <w:highlight w:val="yellow"/>
          <w:lang w:val="es-AR"/>
        </w:rPr>
        <w:t>73% del gasto</w:t>
      </w:r>
      <w:r w:rsidR="0025288B">
        <w:rPr>
          <w:rStyle w:val="Refdenotaalpie"/>
          <w:lang w:val="es-AR"/>
        </w:rPr>
        <w:footnoteReference w:id="6"/>
      </w:r>
      <w:r w:rsidR="00143BA5" w:rsidRPr="00674AC4">
        <w:rPr>
          <w:lang w:val="es-AR"/>
        </w:rPr>
        <w:t>.</w:t>
      </w:r>
      <w:r w:rsidR="006C46FC" w:rsidRPr="00674AC4">
        <w:rPr>
          <w:lang w:val="es-AR"/>
        </w:rPr>
        <w:t xml:space="preserve"> </w:t>
      </w:r>
      <w:r w:rsidR="00143BA5" w:rsidRPr="00674AC4">
        <w:rPr>
          <w:lang w:val="es-AR"/>
        </w:rPr>
        <w:t>A</w:t>
      </w:r>
      <w:r w:rsidR="00143BA5">
        <w:rPr>
          <w:lang w:val="es-AR"/>
        </w:rPr>
        <w:t xml:space="preserve"> </w:t>
      </w:r>
      <w:r w:rsidR="00D83A72">
        <w:rPr>
          <w:lang w:val="es-AR"/>
        </w:rPr>
        <w:t>continuación,</w:t>
      </w:r>
      <w:r w:rsidR="00143BA5">
        <w:rPr>
          <w:lang w:val="es-AR"/>
        </w:rPr>
        <w:t xml:space="preserve"> se adjunta </w:t>
      </w:r>
      <w:r w:rsidR="0041647C">
        <w:rPr>
          <w:lang w:val="es-AR"/>
        </w:rPr>
        <w:t>la distribución según el tipo de empresa para cada uno de los rubros que com</w:t>
      </w:r>
      <w:r w:rsidR="00D15A78">
        <w:rPr>
          <w:lang w:val="es-AR"/>
        </w:rPr>
        <w:t>ponen el gasto operativo en las áreas No Convencionales de gas (para más detalles véase Anexo II):</w:t>
      </w:r>
    </w:p>
    <w:p w14:paraId="7D18A73A" w14:textId="40AC1FDD" w:rsidR="003D768B" w:rsidRDefault="0025288B" w:rsidP="006C46FC">
      <w:pPr>
        <w:jc w:val="center"/>
        <w:rPr>
          <w:lang w:val="es-AR"/>
        </w:rPr>
      </w:pPr>
      <w:r>
        <w:rPr>
          <w:noProof/>
          <w:lang w:val="es-AR" w:eastAsia="es-AR"/>
        </w:rPr>
        <w:lastRenderedPageBreak/>
        <w:drawing>
          <wp:inline distT="0" distB="0" distL="0" distR="0" wp14:anchorId="264F3F19" wp14:editId="0466CC71">
            <wp:extent cx="5637530" cy="3234906"/>
            <wp:effectExtent l="0" t="0" r="1270" b="3810"/>
            <wp:docPr id="15" name="Gráfico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5494CF-35E6-4184-8DF2-87D0F7C55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08D941" w14:textId="77777777" w:rsidR="00981343" w:rsidRDefault="00981343" w:rsidP="001759B6">
      <w:pPr>
        <w:jc w:val="both"/>
        <w:rPr>
          <w:highlight w:val="cyan"/>
          <w:lang w:val="es-AR"/>
        </w:rPr>
      </w:pPr>
    </w:p>
    <w:p w14:paraId="5DCC3940" w14:textId="1CF4BDE5" w:rsidR="00981343" w:rsidRPr="003D768B" w:rsidRDefault="00981343" w:rsidP="00981343">
      <w:pPr>
        <w:pStyle w:val="Ttulo2"/>
        <w:jc w:val="both"/>
        <w:rPr>
          <w:b/>
          <w:sz w:val="24"/>
          <w:lang w:val="es-AR"/>
        </w:rPr>
      </w:pPr>
      <w:r>
        <w:rPr>
          <w:b/>
          <w:sz w:val="24"/>
          <w:lang w:val="es-AR"/>
        </w:rPr>
        <w:t>El peso de las importaciones en el abastecimiento de YPF</w:t>
      </w:r>
    </w:p>
    <w:p w14:paraId="661264D2" w14:textId="0973D10A" w:rsidR="00C80230" w:rsidRDefault="00E77014" w:rsidP="00C80230">
      <w:pPr>
        <w:jc w:val="both"/>
        <w:rPr>
          <w:lang w:val="es-AR"/>
        </w:rPr>
      </w:pPr>
      <w:r w:rsidRPr="00DB6BEE">
        <w:rPr>
          <w:highlight w:val="yellow"/>
          <w:lang w:val="es-AR"/>
        </w:rPr>
        <w:t xml:space="preserve">Las importaciones </w:t>
      </w:r>
      <w:r w:rsidR="00B952F6" w:rsidRPr="00DB6BEE">
        <w:rPr>
          <w:highlight w:val="yellow"/>
          <w:lang w:val="es-AR"/>
        </w:rPr>
        <w:t>directas de YPF</w:t>
      </w:r>
      <w:r w:rsidR="00C3698C" w:rsidRPr="00DB6BEE">
        <w:rPr>
          <w:highlight w:val="yellow"/>
          <w:lang w:val="es-AR"/>
        </w:rPr>
        <w:t xml:space="preserve"> en 2020</w:t>
      </w:r>
      <w:r w:rsidR="00C3698C" w:rsidRPr="00DB6BEE">
        <w:rPr>
          <w:rStyle w:val="Refdenotaalpie"/>
          <w:highlight w:val="yellow"/>
          <w:lang w:val="es-AR"/>
        </w:rPr>
        <w:footnoteReference w:id="7"/>
      </w:r>
      <w:r w:rsidR="000A5853" w:rsidRPr="00DB6BEE">
        <w:rPr>
          <w:highlight w:val="yellow"/>
          <w:lang w:val="es-AR"/>
        </w:rPr>
        <w:t>, excluidas las importaciones de combustibles,</w:t>
      </w:r>
      <w:r w:rsidR="00B952F6" w:rsidRPr="00DB6BEE">
        <w:rPr>
          <w:highlight w:val="yellow"/>
          <w:lang w:val="es-AR"/>
        </w:rPr>
        <w:t xml:space="preserve"> </w:t>
      </w:r>
      <w:r w:rsidR="00C3698C" w:rsidRPr="00DB6BEE">
        <w:rPr>
          <w:highlight w:val="yellow"/>
          <w:lang w:val="es-AR"/>
        </w:rPr>
        <w:t xml:space="preserve">totalizaron USD 173 millones, </w:t>
      </w:r>
      <w:r w:rsidR="00B952F6" w:rsidRPr="00DB6BEE">
        <w:rPr>
          <w:highlight w:val="yellow"/>
          <w:lang w:val="es-AR"/>
        </w:rPr>
        <w:t>representan</w:t>
      </w:r>
      <w:r w:rsidR="00C3698C" w:rsidRPr="00DB6BEE">
        <w:rPr>
          <w:highlight w:val="yellow"/>
          <w:lang w:val="es-AR"/>
        </w:rPr>
        <w:t>do</w:t>
      </w:r>
      <w:r w:rsidR="00B952F6" w:rsidRPr="00DB6BEE">
        <w:rPr>
          <w:highlight w:val="yellow"/>
          <w:lang w:val="es-AR"/>
        </w:rPr>
        <w:t xml:space="preserve"> el 3,8% de su gasto de abastecimiento</w:t>
      </w:r>
      <w:r w:rsidR="000A5853" w:rsidRPr="00DB6BEE">
        <w:rPr>
          <w:highlight w:val="yellow"/>
          <w:lang w:val="es-AR"/>
        </w:rPr>
        <w:t xml:space="preserve"> del total de operaciones</w:t>
      </w:r>
      <w:r w:rsidR="00B952F6" w:rsidRPr="000A5853">
        <w:rPr>
          <w:lang w:val="es-AR"/>
        </w:rPr>
        <w:t xml:space="preserve">. </w:t>
      </w:r>
      <w:r w:rsidR="003309DE" w:rsidRPr="000A5853">
        <w:rPr>
          <w:lang w:val="es-AR"/>
        </w:rPr>
        <w:t xml:space="preserve">Estas compras al exterior corresponden principalmente a </w:t>
      </w:r>
      <w:r w:rsidR="003309DE" w:rsidRPr="00DB6BEE">
        <w:rPr>
          <w:highlight w:val="yellow"/>
          <w:lang w:val="es-AR"/>
        </w:rPr>
        <w:t>equipos y repuestos de refinerías (44%), químicos (33%) y arena de fractura (11%)</w:t>
      </w:r>
      <w:r w:rsidR="00160BB8" w:rsidRPr="00DB6BEE">
        <w:rPr>
          <w:rStyle w:val="Refdenotaalpie"/>
          <w:highlight w:val="yellow"/>
          <w:lang w:val="es-AR"/>
        </w:rPr>
        <w:footnoteReference w:id="8"/>
      </w:r>
      <w:r w:rsidR="003309DE" w:rsidRPr="00DB6BEE">
        <w:rPr>
          <w:highlight w:val="yellow"/>
          <w:lang w:val="es-AR"/>
        </w:rPr>
        <w:t>.</w:t>
      </w:r>
      <w:r w:rsidR="00436E6D" w:rsidRPr="000A5853">
        <w:rPr>
          <w:lang w:val="es-AR"/>
        </w:rPr>
        <w:t xml:space="preserve"> </w:t>
      </w:r>
      <w:r w:rsidR="00162AB8">
        <w:rPr>
          <w:lang w:val="es-AR"/>
        </w:rPr>
        <w:t xml:space="preserve">Dada que la participación de las importaciones es muy baja en el negocio </w:t>
      </w:r>
      <w:r w:rsidR="00162AB8" w:rsidRPr="00162AB8">
        <w:rPr>
          <w:i/>
          <w:lang w:val="es-AR"/>
        </w:rPr>
        <w:t>upstream</w:t>
      </w:r>
      <w:r w:rsidR="00162AB8">
        <w:rPr>
          <w:lang w:val="es-AR"/>
        </w:rPr>
        <w:t xml:space="preserve">, es que </w:t>
      </w:r>
      <w:r w:rsidR="00C80230">
        <w:rPr>
          <w:lang w:val="es-AR"/>
        </w:rPr>
        <w:t>no estamos incluyendo como parte del plan de abastecimiento las importaciones directas asociadas al Plan Gas.</w:t>
      </w:r>
    </w:p>
    <w:p w14:paraId="3E300B86" w14:textId="77777777" w:rsidR="00482E7D" w:rsidRDefault="00482E7D" w:rsidP="008D33B6">
      <w:pPr>
        <w:pStyle w:val="Ttulo1"/>
        <w:jc w:val="center"/>
        <w:rPr>
          <w:b/>
          <w:sz w:val="28"/>
          <w:u w:val="single"/>
          <w:lang w:val="es-AR"/>
        </w:rPr>
      </w:pPr>
    </w:p>
    <w:p w14:paraId="0AF0F560" w14:textId="40595574" w:rsidR="008D33B6" w:rsidRPr="009D4DD5" w:rsidRDefault="008D33B6" w:rsidP="008D33B6">
      <w:pPr>
        <w:pStyle w:val="Ttulo1"/>
        <w:jc w:val="center"/>
        <w:rPr>
          <w:b/>
          <w:sz w:val="28"/>
          <w:u w:val="single"/>
          <w:lang w:val="es-AR"/>
        </w:rPr>
      </w:pPr>
      <w:r w:rsidRPr="009D4DD5">
        <w:rPr>
          <w:b/>
          <w:sz w:val="28"/>
          <w:u w:val="single"/>
          <w:lang w:val="es-AR"/>
        </w:rPr>
        <w:t>Punto 2:</w:t>
      </w:r>
      <w:r w:rsidRPr="009D4DD5">
        <w:rPr>
          <w:b/>
          <w:sz w:val="28"/>
          <w:lang w:val="es-AR"/>
        </w:rPr>
        <w:t xml:space="preserve"> Documento que exprese la visión del desarrollo integral de la cadena de valor a través de un conjunto de iniciativas focalizadas en cumplir con los objetivos fijados en el Decreto N° 892/20 y con el principio de utilización, plena y sucesiva, local, regional y nacional, de las facilidades en materia de empleo, provisión directa de bienes y servicios por parte de Pymes y empresas regionales y bienes, procesos y servicios de industria, tecnología y trabajo nacional</w:t>
      </w:r>
    </w:p>
    <w:p w14:paraId="117CA28A" w14:textId="695B6395" w:rsidR="008D33B6" w:rsidRDefault="008D33B6" w:rsidP="001759B6">
      <w:pPr>
        <w:jc w:val="both"/>
        <w:rPr>
          <w:lang w:val="es-AR"/>
        </w:rPr>
      </w:pPr>
    </w:p>
    <w:p w14:paraId="442DE8FE" w14:textId="58E07555" w:rsidR="00086F5E" w:rsidRPr="00C106EE" w:rsidRDefault="00086F5E" w:rsidP="00086F5E">
      <w:pPr>
        <w:pStyle w:val="Ttulo2"/>
        <w:jc w:val="both"/>
        <w:rPr>
          <w:sz w:val="24"/>
          <w:lang w:val="es-AR"/>
        </w:rPr>
      </w:pPr>
      <w:r w:rsidRPr="008248A8">
        <w:rPr>
          <w:b/>
          <w:sz w:val="24"/>
          <w:u w:val="single"/>
          <w:lang w:val="es-AR"/>
        </w:rPr>
        <w:lastRenderedPageBreak/>
        <w:t>Punto 2.1:</w:t>
      </w:r>
      <w:r>
        <w:rPr>
          <w:b/>
          <w:sz w:val="24"/>
          <w:lang w:val="es-AR"/>
        </w:rPr>
        <w:t xml:space="preserve"> </w:t>
      </w:r>
      <w:r w:rsidRPr="00326506">
        <w:rPr>
          <w:b/>
          <w:sz w:val="24"/>
          <w:lang w:val="es-AR"/>
        </w:rPr>
        <w:t>Escenario base, con el correspondiente respaldo documental, que contenga una descripción del último gasto total en bienes y servicios</w:t>
      </w:r>
      <w:r w:rsidRPr="00C106EE">
        <w:rPr>
          <w:sz w:val="24"/>
          <w:lang w:val="es-AR"/>
        </w:rPr>
        <w:t xml:space="preserve"> previo a la firma del Esquema que distinga el origen local, regional y/o extranjero de sus proveedores de bienes y servicios</w:t>
      </w:r>
    </w:p>
    <w:p w14:paraId="3F356585" w14:textId="77777777" w:rsidR="00086F5E" w:rsidRDefault="00086F5E" w:rsidP="001759B6">
      <w:pPr>
        <w:jc w:val="both"/>
        <w:rPr>
          <w:lang w:val="es-AR"/>
        </w:rPr>
      </w:pPr>
    </w:p>
    <w:p w14:paraId="720834B3" w14:textId="79982228" w:rsidR="008D33B6" w:rsidRDefault="00086F5E" w:rsidP="001759B6">
      <w:pPr>
        <w:jc w:val="both"/>
        <w:rPr>
          <w:lang w:val="es-AR"/>
        </w:rPr>
      </w:pPr>
      <w:r>
        <w:rPr>
          <w:lang w:val="es-AR"/>
        </w:rPr>
        <w:t xml:space="preserve">Presentado en el punto anterior, con respaldo </w:t>
      </w:r>
      <w:r w:rsidR="00386AD3">
        <w:rPr>
          <w:lang w:val="es-AR"/>
        </w:rPr>
        <w:t>numérico</w:t>
      </w:r>
      <w:r>
        <w:rPr>
          <w:lang w:val="es-AR"/>
        </w:rPr>
        <w:t xml:space="preserve"> en Anexos I y II. La apertura del gasto en rubros y </w:t>
      </w:r>
      <w:proofErr w:type="spellStart"/>
      <w:r>
        <w:rPr>
          <w:lang w:val="es-AR"/>
        </w:rPr>
        <w:t>subrubros</w:t>
      </w:r>
      <w:proofErr w:type="spellEnd"/>
      <w:r>
        <w:rPr>
          <w:lang w:val="es-AR"/>
        </w:rPr>
        <w:t xml:space="preserve"> de la actividad petrolera responde a un promedio de los contratos aplicados para un pozo tipo</w:t>
      </w:r>
      <w:r w:rsidR="00482E7D">
        <w:rPr>
          <w:lang w:val="es-AR"/>
        </w:rPr>
        <w:t xml:space="preserve"> del año 2020</w:t>
      </w:r>
      <w:r>
        <w:rPr>
          <w:lang w:val="es-AR"/>
        </w:rPr>
        <w:t xml:space="preserve">, </w:t>
      </w:r>
      <w:r w:rsidR="00C3076B">
        <w:rPr>
          <w:lang w:val="es-AR"/>
        </w:rPr>
        <w:t xml:space="preserve">tal </w:t>
      </w:r>
      <w:r>
        <w:rPr>
          <w:lang w:val="es-AR"/>
        </w:rPr>
        <w:t xml:space="preserve">como fuera mencionado. </w:t>
      </w:r>
    </w:p>
    <w:p w14:paraId="1AE5984C" w14:textId="1FE77D8B" w:rsidR="00086F5E" w:rsidRDefault="00A51E04" w:rsidP="00833B05">
      <w:pPr>
        <w:jc w:val="center"/>
        <w:rPr>
          <w:lang w:val="es-AR"/>
        </w:rPr>
      </w:pPr>
      <w:r>
        <w:rPr>
          <w:noProof/>
          <w:lang w:val="es-AR" w:eastAsia="es-AR"/>
        </w:rPr>
        <w:drawing>
          <wp:inline distT="0" distB="0" distL="0" distR="0" wp14:anchorId="0EC80368" wp14:editId="75B32DC1">
            <wp:extent cx="5612130" cy="3286125"/>
            <wp:effectExtent l="0" t="0" r="7620" b="9525"/>
            <wp:docPr id="2" name="Gráfico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F51F30-98DD-4574-AFB7-BC93E9D157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4F88A2" w14:textId="1914A0B7" w:rsidR="008D33B6" w:rsidRPr="008248A8" w:rsidRDefault="008248A8" w:rsidP="008248A8">
      <w:pPr>
        <w:pStyle w:val="Ttulo2"/>
        <w:jc w:val="both"/>
        <w:rPr>
          <w:b/>
          <w:sz w:val="24"/>
          <w:lang w:val="es-AR"/>
        </w:rPr>
      </w:pPr>
      <w:r w:rsidRPr="00C106EE">
        <w:rPr>
          <w:b/>
          <w:sz w:val="24"/>
          <w:u w:val="single"/>
          <w:lang w:val="es-AR"/>
        </w:rPr>
        <w:t>Punto 2.2:</w:t>
      </w:r>
      <w:r>
        <w:rPr>
          <w:b/>
          <w:sz w:val="24"/>
          <w:lang w:val="es-AR"/>
        </w:rPr>
        <w:t xml:space="preserve"> </w:t>
      </w:r>
      <w:r w:rsidR="00E822F2" w:rsidRPr="00326506">
        <w:rPr>
          <w:b/>
          <w:sz w:val="24"/>
          <w:lang w:val="es-AR"/>
        </w:rPr>
        <w:t>El conjunto de medidas, apoyadas en el escenario base del inciso anterior, para desarrollar sus proveedores locales, regionales y nacionales</w:t>
      </w:r>
      <w:r w:rsidR="00E822F2" w:rsidRPr="00C106EE">
        <w:rPr>
          <w:sz w:val="24"/>
          <w:lang w:val="es-AR"/>
        </w:rPr>
        <w:t xml:space="preserve"> y aumentar su participación según los compromisos establecidos en el inciso siguiente.</w:t>
      </w:r>
    </w:p>
    <w:p w14:paraId="4CC00918" w14:textId="77777777" w:rsidR="009D4DD5" w:rsidRDefault="009D4DD5" w:rsidP="001F7999">
      <w:pPr>
        <w:jc w:val="both"/>
        <w:rPr>
          <w:lang w:val="es-AR"/>
        </w:rPr>
      </w:pPr>
    </w:p>
    <w:p w14:paraId="048ABAC6" w14:textId="08F58DB8" w:rsidR="009804E4" w:rsidRDefault="005E0A64" w:rsidP="001F7999">
      <w:pPr>
        <w:jc w:val="both"/>
        <w:rPr>
          <w:lang w:val="es-AR"/>
        </w:rPr>
      </w:pPr>
      <w:r>
        <w:rPr>
          <w:lang w:val="es-AR"/>
        </w:rPr>
        <w:t xml:space="preserve">Tal como se desprende del inciso anterior, y en base al trabajo realizado desde </w:t>
      </w:r>
      <w:r w:rsidR="00366E35">
        <w:rPr>
          <w:lang w:val="es-AR"/>
        </w:rPr>
        <w:t xml:space="preserve">el 2012 en </w:t>
      </w:r>
      <w:r>
        <w:rPr>
          <w:lang w:val="es-AR"/>
        </w:rPr>
        <w:t xml:space="preserve">YPF en la cadena de valor, es que </w:t>
      </w:r>
      <w:r w:rsidRPr="00C4124D">
        <w:rPr>
          <w:highlight w:val="yellow"/>
          <w:lang w:val="es-AR"/>
        </w:rPr>
        <w:t xml:space="preserve">en la actualidad se puede cumplir con el piso de participación de empresas nacionales, regionales y locales previsto por la </w:t>
      </w:r>
      <w:r w:rsidR="00366E35" w:rsidRPr="00C4124D">
        <w:rPr>
          <w:highlight w:val="yellow"/>
          <w:lang w:val="es-AR"/>
        </w:rPr>
        <w:t>presente normativa</w:t>
      </w:r>
      <w:r w:rsidRPr="00C4124D">
        <w:rPr>
          <w:highlight w:val="yellow"/>
          <w:lang w:val="es-AR"/>
        </w:rPr>
        <w:t xml:space="preserve">. </w:t>
      </w:r>
      <w:r w:rsidR="00A50F26" w:rsidRPr="00C4124D">
        <w:rPr>
          <w:highlight w:val="yellow"/>
          <w:lang w:val="es-AR"/>
        </w:rPr>
        <w:t>Prueba de esto son las mesas de trabajo que se están manteniendo</w:t>
      </w:r>
      <w:r w:rsidR="00B92B73" w:rsidRPr="00C4124D">
        <w:rPr>
          <w:highlight w:val="yellow"/>
          <w:lang w:val="es-AR"/>
        </w:rPr>
        <w:t xml:space="preserve"> en las diversas cuencas productivas</w:t>
      </w:r>
      <w:r w:rsidR="00EA5266" w:rsidRPr="00C4124D">
        <w:rPr>
          <w:rStyle w:val="Refdenotaalpie"/>
          <w:highlight w:val="yellow"/>
          <w:lang w:val="es-AR"/>
        </w:rPr>
        <w:footnoteReference w:id="9"/>
      </w:r>
      <w:r w:rsidR="00A50F26" w:rsidRPr="00C4124D">
        <w:rPr>
          <w:highlight w:val="yellow"/>
          <w:lang w:val="es-AR"/>
        </w:rPr>
        <w:t xml:space="preserve">, como parte del trabajo </w:t>
      </w:r>
      <w:r w:rsidR="00EA5266" w:rsidRPr="00C4124D">
        <w:rPr>
          <w:highlight w:val="yellow"/>
          <w:lang w:val="es-AR"/>
        </w:rPr>
        <w:t xml:space="preserve">con las cadenas de valor regionales y como parte de la </w:t>
      </w:r>
      <w:r w:rsidR="00E17C31" w:rsidRPr="00C4124D">
        <w:rPr>
          <w:highlight w:val="yellow"/>
          <w:lang w:val="es-AR"/>
        </w:rPr>
        <w:t xml:space="preserve">capacitación y </w:t>
      </w:r>
      <w:r w:rsidR="00EA5266" w:rsidRPr="00C4124D">
        <w:rPr>
          <w:highlight w:val="yellow"/>
          <w:lang w:val="es-AR"/>
        </w:rPr>
        <w:t>comunicación de oportunidades y obstáculos para el desarrollo de la oferta</w:t>
      </w:r>
      <w:r w:rsidR="00EA5266" w:rsidRPr="0020219C">
        <w:rPr>
          <w:lang w:val="es-AR"/>
        </w:rPr>
        <w:t xml:space="preserve">. Esto refuerza el hecho que </w:t>
      </w:r>
      <w:r w:rsidRPr="0020219C">
        <w:rPr>
          <w:lang w:val="es-AR"/>
        </w:rPr>
        <w:t>YPF continuará trabajando para que la incidencia del trabajo argentino</w:t>
      </w:r>
      <w:r>
        <w:rPr>
          <w:lang w:val="es-AR"/>
        </w:rPr>
        <w:t xml:space="preserve"> y la participación de las pymes locales </w:t>
      </w:r>
      <w:r w:rsidR="00455251">
        <w:rPr>
          <w:lang w:val="es-AR"/>
        </w:rPr>
        <w:t>continúe siendo significativa en las operaciones de la compañía</w:t>
      </w:r>
      <w:r>
        <w:rPr>
          <w:lang w:val="es-AR"/>
        </w:rPr>
        <w:t xml:space="preserve">. </w:t>
      </w:r>
    </w:p>
    <w:p w14:paraId="2B4697FF" w14:textId="7E020317" w:rsidR="001F7999" w:rsidRPr="001F7999" w:rsidRDefault="00B8014C" w:rsidP="001F7999">
      <w:pPr>
        <w:jc w:val="both"/>
        <w:rPr>
          <w:lang w:val="es-AR"/>
        </w:rPr>
      </w:pPr>
      <w:r>
        <w:rPr>
          <w:lang w:val="es-AR"/>
        </w:rPr>
        <w:lastRenderedPageBreak/>
        <w:t xml:space="preserve">Por último, </w:t>
      </w:r>
      <w:r w:rsidR="00085DD0">
        <w:rPr>
          <w:lang w:val="es-AR"/>
        </w:rPr>
        <w:t xml:space="preserve">prueba de este compromiso y a fin de </w:t>
      </w:r>
      <w:r>
        <w:rPr>
          <w:lang w:val="es-AR"/>
        </w:rPr>
        <w:t xml:space="preserve">darle fuerte impulso a </w:t>
      </w:r>
      <w:r w:rsidR="00085DD0">
        <w:rPr>
          <w:lang w:val="es-AR"/>
        </w:rPr>
        <w:t>esta</w:t>
      </w:r>
      <w:r>
        <w:rPr>
          <w:lang w:val="es-AR"/>
        </w:rPr>
        <w:t xml:space="preserve"> agenda</w:t>
      </w:r>
      <w:r w:rsidR="00991976">
        <w:rPr>
          <w:lang w:val="es-AR"/>
        </w:rPr>
        <w:t>, con los nuevos desafíos competitivos</w:t>
      </w:r>
      <w:r>
        <w:rPr>
          <w:lang w:val="es-AR"/>
        </w:rPr>
        <w:t xml:space="preserve">, a </w:t>
      </w:r>
      <w:r w:rsidR="001F7999">
        <w:rPr>
          <w:lang w:val="es-AR"/>
        </w:rPr>
        <w:t>principios de 2021 se creó la Gerencia de Desarrollo Sustentable de Proveedores en YPF, con el objetivo</w:t>
      </w:r>
      <w:r w:rsidR="009804E4">
        <w:rPr>
          <w:lang w:val="es-AR"/>
        </w:rPr>
        <w:t xml:space="preserve"> </w:t>
      </w:r>
      <w:r w:rsidR="001F7999">
        <w:rPr>
          <w:lang w:val="es-AR"/>
        </w:rPr>
        <w:t xml:space="preserve">de: promover la innovación tecnológica, mejorar la productividad y competitividad de los factores, incrementar la eficiencia de los bienes y servicios, </w:t>
      </w:r>
      <w:r w:rsidR="00872A66">
        <w:rPr>
          <w:lang w:val="es-AR"/>
        </w:rPr>
        <w:t xml:space="preserve">reducir </w:t>
      </w:r>
      <w:r w:rsidR="001F7999">
        <w:rPr>
          <w:lang w:val="es-AR"/>
        </w:rPr>
        <w:t xml:space="preserve">costos, </w:t>
      </w:r>
      <w:r w:rsidR="00872A66">
        <w:rPr>
          <w:lang w:val="es-AR"/>
        </w:rPr>
        <w:t xml:space="preserve">sustituir </w:t>
      </w:r>
      <w:r w:rsidR="001F7999">
        <w:rPr>
          <w:lang w:val="es-AR"/>
        </w:rPr>
        <w:t xml:space="preserve">importaciones </w:t>
      </w:r>
      <w:r w:rsidR="00455251">
        <w:rPr>
          <w:lang w:val="es-AR"/>
        </w:rPr>
        <w:t xml:space="preserve">y maximizar </w:t>
      </w:r>
      <w:r w:rsidR="001F7999">
        <w:rPr>
          <w:lang w:val="es-AR"/>
        </w:rPr>
        <w:t xml:space="preserve">el impacto económico regional. </w:t>
      </w:r>
    </w:p>
    <w:p w14:paraId="64EA5102" w14:textId="54A1AF68" w:rsidR="00C106EE" w:rsidRPr="008248A8" w:rsidRDefault="00C106EE" w:rsidP="00C106EE">
      <w:pPr>
        <w:pStyle w:val="Ttulo2"/>
        <w:jc w:val="both"/>
        <w:rPr>
          <w:b/>
          <w:sz w:val="24"/>
          <w:lang w:val="es-AR"/>
        </w:rPr>
      </w:pPr>
      <w:r w:rsidRPr="00C106EE">
        <w:rPr>
          <w:b/>
          <w:sz w:val="24"/>
          <w:u w:val="single"/>
          <w:lang w:val="es-AR"/>
        </w:rPr>
        <w:t>Punto 2.</w:t>
      </w:r>
      <w:r>
        <w:rPr>
          <w:b/>
          <w:sz w:val="24"/>
          <w:u w:val="single"/>
          <w:lang w:val="es-AR"/>
        </w:rPr>
        <w:t>3</w:t>
      </w:r>
      <w:r w:rsidRPr="00C106EE">
        <w:rPr>
          <w:b/>
          <w:sz w:val="24"/>
          <w:u w:val="single"/>
          <w:lang w:val="es-AR"/>
        </w:rPr>
        <w:t>:</w:t>
      </w:r>
      <w:r w:rsidRPr="00326506">
        <w:rPr>
          <w:b/>
          <w:sz w:val="24"/>
          <w:lang w:val="es-AR"/>
        </w:rPr>
        <w:t xml:space="preserve"> </w:t>
      </w:r>
      <w:r w:rsidR="00056476" w:rsidRPr="00326506">
        <w:rPr>
          <w:b/>
          <w:sz w:val="24"/>
          <w:lang w:val="es-AR"/>
        </w:rPr>
        <w:t>Un compromiso mensurable año a año, durante la vi</w:t>
      </w:r>
      <w:r w:rsidR="000D11EE">
        <w:rPr>
          <w:b/>
          <w:sz w:val="24"/>
          <w:lang w:val="es-AR"/>
        </w:rPr>
        <w:t>gencia del presente esquema, de</w:t>
      </w:r>
      <w:r w:rsidR="00056476" w:rsidRPr="00326506">
        <w:rPr>
          <w:b/>
          <w:sz w:val="24"/>
          <w:lang w:val="es-AR"/>
        </w:rPr>
        <w:t xml:space="preserve"> aumento de la participación de los proveedores locales, regionales y nacionales. </w:t>
      </w:r>
      <w:r w:rsidR="00056476" w:rsidRPr="00056476">
        <w:rPr>
          <w:sz w:val="24"/>
          <w:lang w:val="es-AR"/>
        </w:rPr>
        <w:t>En particular, la ADJUDICATARIA deberá comprometerse a alcanzar un incremento de la participación de las empresas locales, regionales y nacionales en el monto total de sus contrataciones necesarias para alcanzar los volúmenes de gas asignados en el presente esquema de al menos un TREINTA POR CIENTO (30%) en el rubro prestación de servicios de perforación, cementación y terminación; y de al menos CUARENTA POR CIENTO (40%) para el resto de sus contrataciones</w:t>
      </w:r>
      <w:r w:rsidR="00056476">
        <w:rPr>
          <w:sz w:val="24"/>
          <w:lang w:val="es-AR"/>
        </w:rPr>
        <w:t xml:space="preserve">. </w:t>
      </w:r>
      <w:r w:rsidR="00056476" w:rsidRPr="00056476">
        <w:rPr>
          <w:sz w:val="24"/>
          <w:lang w:val="es-AR"/>
        </w:rPr>
        <w:t>A los fines de observar el cumplimiento por parte de las ADJUDICATARIAS del compromiso establecido en el presente inciso, se contabilizarán el incremento en el monto total de las contrataciones de forma agregada entre locales, regionales y nacionales. En ningún caso, la participación de sus proveedores locales, regionales y nacionales podrá ser menor a la del año anterior.</w:t>
      </w:r>
    </w:p>
    <w:p w14:paraId="11F46E0A" w14:textId="6CC7509C" w:rsidR="008248A8" w:rsidRDefault="008248A8" w:rsidP="001759B6">
      <w:pPr>
        <w:jc w:val="both"/>
        <w:rPr>
          <w:lang w:val="es-AR"/>
        </w:rPr>
      </w:pPr>
    </w:p>
    <w:p w14:paraId="0F12D1D7" w14:textId="276B40D5" w:rsidR="00CA77F1" w:rsidRDefault="00FF6C27" w:rsidP="001759B6">
      <w:pPr>
        <w:jc w:val="both"/>
        <w:rPr>
          <w:lang w:val="es-AR"/>
        </w:rPr>
      </w:pPr>
      <w:r w:rsidRPr="002425AA">
        <w:rPr>
          <w:highlight w:val="yellow"/>
          <w:lang w:val="es-AR"/>
        </w:rPr>
        <w:t xml:space="preserve">YPF </w:t>
      </w:r>
      <w:r w:rsidR="007D310E" w:rsidRPr="002425AA">
        <w:rPr>
          <w:highlight w:val="yellow"/>
          <w:lang w:val="es-AR"/>
        </w:rPr>
        <w:t xml:space="preserve">continuará trabajando para que la incidencia del trabajo argentino y la participación de las pymes locales </w:t>
      </w:r>
      <w:r w:rsidR="000C3F01" w:rsidRPr="002425AA">
        <w:rPr>
          <w:highlight w:val="yellow"/>
          <w:lang w:val="es-AR"/>
        </w:rPr>
        <w:t xml:space="preserve">cumpla con </w:t>
      </w:r>
      <w:r w:rsidR="009154EC" w:rsidRPr="002425AA">
        <w:rPr>
          <w:highlight w:val="yellow"/>
          <w:lang w:val="es-AR"/>
        </w:rPr>
        <w:t xml:space="preserve">incrementar los porcentajes en cada uno de los rubros tal cual </w:t>
      </w:r>
      <w:r w:rsidR="000C3F01" w:rsidRPr="002425AA">
        <w:rPr>
          <w:highlight w:val="yellow"/>
          <w:lang w:val="es-AR"/>
        </w:rPr>
        <w:t xml:space="preserve">lo </w:t>
      </w:r>
      <w:r w:rsidR="000018C7" w:rsidRPr="002425AA">
        <w:rPr>
          <w:highlight w:val="yellow"/>
          <w:lang w:val="es-AR"/>
        </w:rPr>
        <w:t>establece</w:t>
      </w:r>
      <w:r w:rsidR="000C3F01" w:rsidRPr="002425AA">
        <w:rPr>
          <w:highlight w:val="yellow"/>
          <w:lang w:val="es-AR"/>
        </w:rPr>
        <w:t xml:space="preserve"> la norma</w:t>
      </w:r>
      <w:r w:rsidR="00482E7D" w:rsidRPr="002425AA">
        <w:rPr>
          <w:highlight w:val="yellow"/>
          <w:lang w:val="es-AR"/>
        </w:rPr>
        <w:t xml:space="preserve"> hacia el final del período del plan gas</w:t>
      </w:r>
      <w:r w:rsidR="007D310E" w:rsidRPr="002425AA">
        <w:rPr>
          <w:highlight w:val="yellow"/>
          <w:lang w:val="es-AR"/>
        </w:rPr>
        <w:t>.</w:t>
      </w:r>
      <w:r w:rsidR="007D310E" w:rsidRPr="00482E7D">
        <w:rPr>
          <w:lang w:val="es-AR"/>
        </w:rPr>
        <w:t xml:space="preserve"> </w:t>
      </w:r>
      <w:r w:rsidR="00CA77F1" w:rsidRPr="00482E7D">
        <w:rPr>
          <w:lang w:val="es-AR"/>
        </w:rPr>
        <w:t xml:space="preserve"> </w:t>
      </w:r>
    </w:p>
    <w:p w14:paraId="586136F4" w14:textId="1B97BE45" w:rsidR="00FE39F6" w:rsidRDefault="00FE39F6" w:rsidP="00FE39F6">
      <w:pPr>
        <w:jc w:val="both"/>
        <w:rPr>
          <w:lang w:val="es-AR"/>
        </w:rPr>
      </w:pPr>
      <w:r>
        <w:rPr>
          <w:lang w:val="es-AR"/>
        </w:rPr>
        <w:t xml:space="preserve">No </w:t>
      </w:r>
      <w:r w:rsidR="00482E7D">
        <w:rPr>
          <w:lang w:val="es-AR"/>
        </w:rPr>
        <w:t xml:space="preserve">obstante, </w:t>
      </w:r>
      <w:r>
        <w:rPr>
          <w:lang w:val="es-AR"/>
        </w:rPr>
        <w:t>es importante recalcar que los costos petroleros en Argentina, tanto en explotaciones convencionales como no convencionales (tigh</w:t>
      </w:r>
      <w:r w:rsidR="000D11EE">
        <w:rPr>
          <w:lang w:val="es-AR"/>
        </w:rPr>
        <w:t>t</w:t>
      </w:r>
      <w:r>
        <w:rPr>
          <w:lang w:val="es-AR"/>
        </w:rPr>
        <w:t xml:space="preserve"> y shale gas) deben bajar de manera sistémica para </w:t>
      </w:r>
      <w:r w:rsidR="007D310E">
        <w:rPr>
          <w:lang w:val="es-AR"/>
        </w:rPr>
        <w:t xml:space="preserve">la </w:t>
      </w:r>
      <w:r>
        <w:rPr>
          <w:lang w:val="es-AR"/>
        </w:rPr>
        <w:t>sustentabilidad del sistema, mantener el nivel de inversiones y tener la posibilidad de exportar. Hoy el sistema no está optimizado en todo su potencial. En el caso de Vaca Muerta, donde el imperativo es mayor aún por el nivel de inversiones que se requiere y porque está principalmente impulsado por la inversión de YPF y empresas extranjera</w:t>
      </w:r>
      <w:r w:rsidR="004A3593">
        <w:rPr>
          <w:lang w:val="es-AR"/>
        </w:rPr>
        <w:t>s</w:t>
      </w:r>
      <w:r>
        <w:rPr>
          <w:lang w:val="es-AR"/>
        </w:rPr>
        <w:t>, el sendero de reducción de costos de construcción de pozos e instalaciones (</w:t>
      </w:r>
      <w:proofErr w:type="spellStart"/>
      <w:r>
        <w:rPr>
          <w:lang w:val="es-AR"/>
        </w:rPr>
        <w:t>capex</w:t>
      </w:r>
      <w:proofErr w:type="spellEnd"/>
      <w:r>
        <w:rPr>
          <w:lang w:val="es-AR"/>
        </w:rPr>
        <w:t xml:space="preserve">) debe ir en línea con </w:t>
      </w:r>
      <w:r w:rsidR="00272BCD">
        <w:rPr>
          <w:lang w:val="es-AR"/>
        </w:rPr>
        <w:t xml:space="preserve">la </w:t>
      </w:r>
      <w:r>
        <w:rPr>
          <w:lang w:val="es-AR"/>
        </w:rPr>
        <w:t xml:space="preserve">referencia </w:t>
      </w:r>
      <w:r w:rsidR="00272BCD">
        <w:rPr>
          <w:lang w:val="es-AR"/>
        </w:rPr>
        <w:t xml:space="preserve">de costos </w:t>
      </w:r>
      <w:r>
        <w:rPr>
          <w:lang w:val="es-AR"/>
        </w:rPr>
        <w:t>internacional</w:t>
      </w:r>
      <w:r w:rsidR="00272BCD">
        <w:rPr>
          <w:lang w:val="es-AR"/>
        </w:rPr>
        <w:t xml:space="preserve">es (benchmarking), que en el caso de Vaca Muerta es el </w:t>
      </w:r>
      <w:proofErr w:type="spellStart"/>
      <w:r w:rsidR="00272BCD">
        <w:rPr>
          <w:lang w:val="es-AR"/>
        </w:rPr>
        <w:t>Permian</w:t>
      </w:r>
      <w:proofErr w:type="spellEnd"/>
      <w:r w:rsidR="00272BCD">
        <w:rPr>
          <w:lang w:val="es-AR"/>
        </w:rPr>
        <w:t xml:space="preserve"> </w:t>
      </w:r>
      <w:proofErr w:type="spellStart"/>
      <w:r w:rsidR="00272BCD">
        <w:rPr>
          <w:lang w:val="es-AR"/>
        </w:rPr>
        <w:t>Basin</w:t>
      </w:r>
      <w:proofErr w:type="spellEnd"/>
      <w:r w:rsidR="00272BCD">
        <w:rPr>
          <w:lang w:val="es-AR"/>
        </w:rPr>
        <w:t xml:space="preserve"> de Estados Unidos</w:t>
      </w:r>
      <w:r>
        <w:rPr>
          <w:lang w:val="es-AR"/>
        </w:rPr>
        <w:t xml:space="preserve">. </w:t>
      </w:r>
      <w:r w:rsidR="00A108E2">
        <w:rPr>
          <w:lang w:val="es-AR"/>
        </w:rPr>
        <w:t>L</w:t>
      </w:r>
      <w:r w:rsidR="00272BCD">
        <w:rPr>
          <w:lang w:val="es-AR"/>
        </w:rPr>
        <w:t xml:space="preserve">os puntos críticos que explican la brecha de costos entre Vaca Muerta y </w:t>
      </w:r>
      <w:proofErr w:type="spellStart"/>
      <w:r w:rsidR="00272BCD">
        <w:rPr>
          <w:lang w:val="es-AR"/>
        </w:rPr>
        <w:t>Permian</w:t>
      </w:r>
      <w:proofErr w:type="spellEnd"/>
      <w:r w:rsidR="00272BCD">
        <w:rPr>
          <w:lang w:val="es-AR"/>
        </w:rPr>
        <w:t xml:space="preserve"> </w:t>
      </w:r>
      <w:proofErr w:type="spellStart"/>
      <w:r w:rsidR="00272BCD">
        <w:rPr>
          <w:lang w:val="es-AR"/>
        </w:rPr>
        <w:t>Basin</w:t>
      </w:r>
      <w:proofErr w:type="spellEnd"/>
      <w:r w:rsidR="00272BCD">
        <w:rPr>
          <w:lang w:val="es-AR"/>
        </w:rPr>
        <w:t xml:space="preserve">, se </w:t>
      </w:r>
      <w:r w:rsidR="00A108E2">
        <w:rPr>
          <w:lang w:val="es-AR"/>
        </w:rPr>
        <w:t>detallan en el Anexo III de este informe.</w:t>
      </w:r>
    </w:p>
    <w:p w14:paraId="726AACF6" w14:textId="49A2AE9D" w:rsidR="00416F55" w:rsidRDefault="00416F55" w:rsidP="008650BF">
      <w:pPr>
        <w:pStyle w:val="Ttulo3"/>
        <w:numPr>
          <w:ilvl w:val="0"/>
          <w:numId w:val="46"/>
        </w:numPr>
        <w:rPr>
          <w:lang w:val="es-AR"/>
        </w:rPr>
      </w:pPr>
      <w:r>
        <w:rPr>
          <w:lang w:val="es-AR"/>
        </w:rPr>
        <w:t>Efecto multiplicador del gasto de empresas internacionales</w:t>
      </w:r>
    </w:p>
    <w:p w14:paraId="3EAB7C86" w14:textId="654D6481" w:rsidR="003F347B" w:rsidRDefault="003F347B" w:rsidP="003F347B">
      <w:pPr>
        <w:jc w:val="both"/>
        <w:rPr>
          <w:lang w:val="es-AR"/>
        </w:rPr>
      </w:pPr>
      <w:r w:rsidRPr="002425AA">
        <w:rPr>
          <w:highlight w:val="yellow"/>
          <w:lang w:val="es-AR"/>
        </w:rPr>
        <w:t xml:space="preserve">Cabe destacar que el gasto en empresas de servicios internacionales tiene un componente mayoritariamente local. Del </w:t>
      </w:r>
      <w:r w:rsidR="00A51E04" w:rsidRPr="002425AA">
        <w:rPr>
          <w:highlight w:val="yellow"/>
          <w:lang w:val="es-AR"/>
        </w:rPr>
        <w:t>64</w:t>
      </w:r>
      <w:r w:rsidRPr="002425AA">
        <w:rPr>
          <w:highlight w:val="yellow"/>
          <w:lang w:val="es-AR"/>
        </w:rPr>
        <w:t xml:space="preserve">% </w:t>
      </w:r>
      <w:r w:rsidR="00650F6D" w:rsidRPr="002425AA">
        <w:rPr>
          <w:highlight w:val="yellow"/>
          <w:lang w:val="es-AR"/>
        </w:rPr>
        <w:t xml:space="preserve">y 27% </w:t>
      </w:r>
      <w:r w:rsidRPr="002425AA">
        <w:rPr>
          <w:highlight w:val="yellow"/>
          <w:lang w:val="es-AR"/>
        </w:rPr>
        <w:t xml:space="preserve">del </w:t>
      </w:r>
      <w:proofErr w:type="spellStart"/>
      <w:r w:rsidR="00650F6D" w:rsidRPr="002425AA">
        <w:rPr>
          <w:highlight w:val="yellow"/>
          <w:lang w:val="es-AR"/>
        </w:rPr>
        <w:t>capex</w:t>
      </w:r>
      <w:proofErr w:type="spellEnd"/>
      <w:r w:rsidR="00650F6D" w:rsidRPr="002425AA">
        <w:rPr>
          <w:highlight w:val="yellow"/>
          <w:lang w:val="es-AR"/>
        </w:rPr>
        <w:t xml:space="preserve"> y </w:t>
      </w:r>
      <w:proofErr w:type="spellStart"/>
      <w:r w:rsidR="00650F6D" w:rsidRPr="002425AA">
        <w:rPr>
          <w:highlight w:val="yellow"/>
          <w:lang w:val="es-AR"/>
        </w:rPr>
        <w:t>opex</w:t>
      </w:r>
      <w:proofErr w:type="spellEnd"/>
      <w:r w:rsidR="00650F6D" w:rsidRPr="002425AA">
        <w:rPr>
          <w:highlight w:val="yellow"/>
          <w:lang w:val="es-AR"/>
        </w:rPr>
        <w:t xml:space="preserve">, respectivamente, </w:t>
      </w:r>
      <w:r w:rsidRPr="002425AA">
        <w:rPr>
          <w:highlight w:val="yellow"/>
          <w:lang w:val="es-AR"/>
        </w:rPr>
        <w:t xml:space="preserve">erogado a compañías internacionales, </w:t>
      </w:r>
      <w:r w:rsidR="00650F6D" w:rsidRPr="002425AA">
        <w:rPr>
          <w:highlight w:val="yellow"/>
          <w:lang w:val="es-AR"/>
        </w:rPr>
        <w:t xml:space="preserve">72% y 91% de esos contratos </w:t>
      </w:r>
      <w:r w:rsidRPr="002425AA">
        <w:rPr>
          <w:highlight w:val="yellow"/>
          <w:lang w:val="es-AR"/>
        </w:rPr>
        <w:t>son destinados por estas empresas a demanda</w:t>
      </w:r>
      <w:r w:rsidR="004A3593" w:rsidRPr="002425AA">
        <w:rPr>
          <w:highlight w:val="yellow"/>
          <w:lang w:val="es-AR"/>
        </w:rPr>
        <w:t>r bienes y servicios provistos por</w:t>
      </w:r>
      <w:r w:rsidRPr="002425AA">
        <w:rPr>
          <w:highlight w:val="yellow"/>
          <w:lang w:val="es-AR"/>
        </w:rPr>
        <w:t xml:space="preserve"> empresas locales</w:t>
      </w:r>
      <w:r w:rsidR="004A3593" w:rsidRPr="002425AA">
        <w:rPr>
          <w:highlight w:val="yellow"/>
          <w:lang w:val="es-AR"/>
        </w:rPr>
        <w:t>, regionales y nacionales</w:t>
      </w:r>
      <w:r w:rsidRPr="002425AA">
        <w:rPr>
          <w:highlight w:val="yellow"/>
          <w:lang w:val="es-AR"/>
        </w:rPr>
        <w:t>.</w:t>
      </w:r>
      <w:r w:rsidRPr="00D72CC7">
        <w:rPr>
          <w:lang w:val="es-AR"/>
        </w:rPr>
        <w:t xml:space="preserve"> Es decir, estas compañías proveen un servicio con un significativo componente de gasto en mano de obra local, insumos y energía producidos en el país que, como mencionábamos anteriormente. </w:t>
      </w:r>
      <w:r w:rsidR="00A51E04" w:rsidRPr="00DF31AD">
        <w:rPr>
          <w:highlight w:val="yellow"/>
          <w:lang w:val="es-AR"/>
        </w:rPr>
        <w:t xml:space="preserve">Finalmente, </w:t>
      </w:r>
      <w:r w:rsidRPr="00DF31AD">
        <w:rPr>
          <w:highlight w:val="yellow"/>
          <w:lang w:val="es-AR"/>
        </w:rPr>
        <w:t>el componente extranjero del gasto en compañías internacionales es de solo 2</w:t>
      </w:r>
      <w:r w:rsidR="00650F6D" w:rsidRPr="00DF31AD">
        <w:rPr>
          <w:highlight w:val="yellow"/>
          <w:lang w:val="es-AR"/>
        </w:rPr>
        <w:t>8</w:t>
      </w:r>
      <w:r w:rsidRPr="00DF31AD">
        <w:rPr>
          <w:highlight w:val="yellow"/>
          <w:lang w:val="es-AR"/>
        </w:rPr>
        <w:t>%</w:t>
      </w:r>
      <w:r w:rsidR="00650F6D" w:rsidRPr="00DF31AD">
        <w:rPr>
          <w:highlight w:val="yellow"/>
          <w:lang w:val="es-AR"/>
        </w:rPr>
        <w:t xml:space="preserve"> en contratos de </w:t>
      </w:r>
      <w:proofErr w:type="spellStart"/>
      <w:r w:rsidR="00650F6D" w:rsidRPr="00DF31AD">
        <w:rPr>
          <w:highlight w:val="yellow"/>
          <w:lang w:val="es-AR"/>
        </w:rPr>
        <w:t>capex</w:t>
      </w:r>
      <w:proofErr w:type="spellEnd"/>
      <w:r w:rsidR="00650F6D" w:rsidRPr="00DF31AD">
        <w:rPr>
          <w:highlight w:val="yellow"/>
          <w:lang w:val="es-AR"/>
        </w:rPr>
        <w:t xml:space="preserve"> y 9% en contratos de </w:t>
      </w:r>
      <w:proofErr w:type="spellStart"/>
      <w:r w:rsidR="00650F6D" w:rsidRPr="00DF31AD">
        <w:rPr>
          <w:highlight w:val="yellow"/>
          <w:lang w:val="es-AR"/>
        </w:rPr>
        <w:t>opex</w:t>
      </w:r>
      <w:proofErr w:type="spellEnd"/>
      <w:r w:rsidRPr="00DF31AD">
        <w:rPr>
          <w:highlight w:val="yellow"/>
          <w:lang w:val="es-AR"/>
        </w:rPr>
        <w:t>.</w:t>
      </w:r>
    </w:p>
    <w:p w14:paraId="3B053424" w14:textId="13049E44" w:rsidR="00991976" w:rsidRPr="003F347B" w:rsidRDefault="00991976" w:rsidP="003F347B">
      <w:pPr>
        <w:jc w:val="both"/>
        <w:rPr>
          <w:lang w:val="es-AR"/>
        </w:rPr>
      </w:pPr>
      <w:r>
        <w:rPr>
          <w:noProof/>
          <w:lang w:val="es-AR" w:eastAsia="es-AR"/>
        </w:rPr>
        <w:lastRenderedPageBreak/>
        <w:drawing>
          <wp:inline distT="0" distB="0" distL="0" distR="0" wp14:anchorId="33385738" wp14:editId="0371C5C5">
            <wp:extent cx="5857875" cy="2981325"/>
            <wp:effectExtent l="0" t="0" r="9525" b="9525"/>
            <wp:docPr id="11" name="Gráfico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9872A6-D9FC-4C3D-A050-170218942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5170C7" w14:textId="654DBD79" w:rsidR="008650BF" w:rsidRPr="00650F6D" w:rsidRDefault="008650BF" w:rsidP="008650BF">
      <w:pPr>
        <w:pStyle w:val="Ttulo3"/>
        <w:numPr>
          <w:ilvl w:val="0"/>
          <w:numId w:val="46"/>
        </w:numPr>
        <w:rPr>
          <w:lang w:val="es-AR"/>
        </w:rPr>
      </w:pPr>
      <w:bookmarkStart w:id="1" w:name="_Hlk63263593"/>
      <w:r w:rsidRPr="00650F6D">
        <w:rPr>
          <w:lang w:val="es-AR"/>
        </w:rPr>
        <w:t>Exclusión de AESA en la consideración de compre local</w:t>
      </w:r>
    </w:p>
    <w:p w14:paraId="5919E30D" w14:textId="77777777" w:rsidR="0066688D" w:rsidRPr="0066688D" w:rsidRDefault="0066688D" w:rsidP="0066688D">
      <w:pPr>
        <w:jc w:val="both"/>
        <w:rPr>
          <w:lang w:val="es-AR"/>
        </w:rPr>
      </w:pPr>
      <w:r w:rsidRPr="0066688D">
        <w:rPr>
          <w:lang w:val="es-AR"/>
        </w:rPr>
        <w:t xml:space="preserve">El mencionado anexo contiene una disposición que se vincula en forma directa con el rol de AESA como empresa de servicios petroleros controlada accionariamente por YPF S.A., que transcribimos: </w:t>
      </w:r>
      <w:r w:rsidRPr="0066688D">
        <w:rPr>
          <w:i/>
          <w:lang w:val="es-AR"/>
        </w:rPr>
        <w:t>“A los efectos de dar cumplimiento con los compromisos con el Valor Agregado Nacional, no se considerarán empresas “locales, regionales y nacionales” a aquellas personas jurídicas controladas accionariamente, directa o indirectamente, por las empresas productoras de gas natural”.</w:t>
      </w:r>
      <w:r w:rsidRPr="0066688D">
        <w:rPr>
          <w:lang w:val="es-AR"/>
        </w:rPr>
        <w:t xml:space="preserve">  </w:t>
      </w:r>
    </w:p>
    <w:p w14:paraId="51286069" w14:textId="77777777" w:rsidR="0066688D" w:rsidRPr="00CD32EE" w:rsidRDefault="0066688D" w:rsidP="0066688D">
      <w:pPr>
        <w:jc w:val="both"/>
        <w:rPr>
          <w:lang w:val="es-AR"/>
        </w:rPr>
      </w:pPr>
      <w:r w:rsidRPr="00CD32EE">
        <w:rPr>
          <w:lang w:val="es-AR"/>
        </w:rPr>
        <w:t xml:space="preserve">Con relación a dicho párrafo dejamos manifestado que, en la visión de YPF, la señalada disposición constituye una injustificada restricción del acceso al mercado para empresas de servicios nacionales que históricamente aportaron valor a la industria nacional, por la sola circunstancia de estar vinculadas con empresas productoras, restricción que se contrapone con el objetivo general de la norma y del Programa que ésa reglamenta. En tal sentido, entre los objetivos que enumera expresamente el Decreto N° 892/2020, se encuentra el de mejorar la productividad, competitividad, eficiencia y calidad de la industria local, variables que se ven ampliamente favorecidos a partir de la libre competencia de las empresas de servicios con probada experiencia en el país, máxime encuadrando indudablemente AESA en la definición de empresa nacional y siendo además prácticamente la única empresa afectada por la particular disposición comentada. </w:t>
      </w:r>
    </w:p>
    <w:p w14:paraId="0D7656D2" w14:textId="58A828D7" w:rsidR="0066688D" w:rsidRPr="00CD32EE" w:rsidRDefault="0066688D" w:rsidP="0066688D">
      <w:pPr>
        <w:jc w:val="both"/>
        <w:rPr>
          <w:lang w:val="es-AR"/>
        </w:rPr>
      </w:pPr>
      <w:r w:rsidRPr="00CD32EE">
        <w:rPr>
          <w:lang w:val="es-AR"/>
        </w:rPr>
        <w:t>Una vez más, en la visión de YPF, y siendo objetivo del Decreto 892/2020 “promover el desarrollo de agregado nacional en la cadena de valor de toda la industria gasífera”, y requiriendo el Anexo VI del Pliego “un mecanismo de contratación transparente y abierto que garantice la plena concurrencia a los proveedores locales, regionales y nacionales”, la exclusión de AESA de la consideración de empresa nacional conspira contra el objetivo y requisito reseñados.</w:t>
      </w:r>
    </w:p>
    <w:bookmarkEnd w:id="1"/>
    <w:p w14:paraId="73EE0D2D" w14:textId="104202FC" w:rsidR="004D7D26" w:rsidRDefault="004D7D26">
      <w:pPr>
        <w:rPr>
          <w:lang w:val="es-AR"/>
        </w:rPr>
      </w:pPr>
      <w:r>
        <w:rPr>
          <w:lang w:val="es-AR"/>
        </w:rPr>
        <w:br w:type="page"/>
      </w:r>
    </w:p>
    <w:p w14:paraId="34534D49" w14:textId="6AA005CE" w:rsidR="004D7D26" w:rsidRPr="00416F55" w:rsidRDefault="004D7D26" w:rsidP="004D7D26">
      <w:pPr>
        <w:pStyle w:val="Ttulo1"/>
        <w:jc w:val="center"/>
        <w:rPr>
          <w:b/>
          <w:sz w:val="24"/>
          <w:u w:val="single"/>
          <w:lang w:val="es-AR"/>
        </w:rPr>
      </w:pPr>
      <w:r w:rsidRPr="00416F55">
        <w:rPr>
          <w:b/>
          <w:sz w:val="24"/>
          <w:u w:val="single"/>
          <w:lang w:val="es-AR"/>
        </w:rPr>
        <w:lastRenderedPageBreak/>
        <w:t>Punto 3:</w:t>
      </w:r>
      <w:r w:rsidRPr="00416F55">
        <w:rPr>
          <w:b/>
          <w:sz w:val="24"/>
          <w:lang w:val="es-AR"/>
        </w:rPr>
        <w:t xml:space="preserve"> Un mecanismo de contratación transparente y abierto que garantice la plena concurrencia a los proveedores locales, regionales y nacionales a los fines de dar cumplimiento con el principio de utilización plena y sucesiva local, regional y nacional de sus proveedores.</w:t>
      </w:r>
    </w:p>
    <w:p w14:paraId="633FB8A7" w14:textId="77777777" w:rsidR="004D7D26" w:rsidRPr="00CC2DE9" w:rsidRDefault="004D7D26" w:rsidP="004D7D26">
      <w:pPr>
        <w:jc w:val="both"/>
        <w:rPr>
          <w:rFonts w:ascii="Calibri" w:eastAsia="Calibri" w:hAnsi="Calibri" w:cs="Calibri"/>
          <w:color w:val="000000" w:themeColor="text1"/>
          <w:lang w:val="es-AR"/>
        </w:rPr>
      </w:pPr>
      <w:r w:rsidRPr="00CC2DE9">
        <w:rPr>
          <w:rFonts w:ascii="Calibri" w:eastAsia="Calibri" w:hAnsi="Calibri" w:cs="Calibri"/>
          <w:color w:val="000000" w:themeColor="text1"/>
          <w:lang w:val="es-AR"/>
        </w:rPr>
        <w:t>Para la ejecución de las actividades vinculadas al Plan Gas, YPF planea asegurar el abastecimiento de bienes y servicios a través de procesos de contratación competitivos; elaboración de acuerdos colaborativos e instrumentación de contratos marco.</w:t>
      </w:r>
    </w:p>
    <w:p w14:paraId="1E9BCF23" w14:textId="176AC965" w:rsidR="004D7D26" w:rsidRPr="00ED7214" w:rsidRDefault="004D7D26" w:rsidP="004D7D26">
      <w:pPr>
        <w:jc w:val="both"/>
        <w:rPr>
          <w:rFonts w:ascii="Calibri" w:eastAsia="Calibri" w:hAnsi="Calibri" w:cs="Calibri"/>
          <w:color w:val="000000" w:themeColor="text1"/>
          <w:lang w:val="es-AR"/>
        </w:rPr>
      </w:pPr>
      <w:r w:rsidRPr="00425322">
        <w:rPr>
          <w:rFonts w:ascii="Calibri" w:eastAsia="Calibri" w:hAnsi="Calibri" w:cs="Calibri"/>
          <w:color w:val="000000" w:themeColor="text1"/>
          <w:highlight w:val="yellow"/>
          <w:lang w:val="es-AR"/>
        </w:rPr>
        <w:t>Para la implementación de dichas contrataciones YPF utiliza procesos de contratación que cumplen normas SOX y que desde su diseño, ejecución y control procuran garantizar la transparencia, equidad y competitividad con el objetivo de establecer relaciones comerciales que agreguen valor simultáneamente a YPF, a los proveedores y a los diversos anillos del ecosistema de empresas que conforman la cadena de abastecimiento</w:t>
      </w:r>
      <w:r w:rsidRPr="00CC2DE9">
        <w:rPr>
          <w:rFonts w:ascii="Calibri" w:eastAsia="Calibri" w:hAnsi="Calibri" w:cs="Calibri"/>
          <w:color w:val="000000" w:themeColor="text1"/>
          <w:lang w:val="es-AR"/>
        </w:rPr>
        <w:t>.</w:t>
      </w:r>
      <w:r w:rsidR="00795885">
        <w:rPr>
          <w:rFonts w:ascii="Calibri" w:eastAsia="Calibri" w:hAnsi="Calibri" w:cs="Calibri"/>
          <w:color w:val="000000" w:themeColor="text1"/>
          <w:lang w:val="es-AR"/>
        </w:rPr>
        <w:t xml:space="preserve"> </w:t>
      </w:r>
      <w:r w:rsidR="002A3F1D">
        <w:rPr>
          <w:rFonts w:ascii="Calibri" w:eastAsia="Calibri" w:hAnsi="Calibri" w:cs="Calibri"/>
          <w:color w:val="000000" w:themeColor="text1"/>
          <w:lang w:val="es-AR"/>
        </w:rPr>
        <w:t xml:space="preserve">A su vez, en la parte no operada, las compañías socias de YPF están sujetas a auditorías externas en su proceso de compra. </w:t>
      </w:r>
    </w:p>
    <w:p w14:paraId="4FAB71FD" w14:textId="2BB50A63" w:rsidR="004D7D26" w:rsidRPr="00416F55" w:rsidRDefault="004D7D26" w:rsidP="004D7D26">
      <w:pPr>
        <w:pStyle w:val="Ttulo1"/>
        <w:jc w:val="center"/>
        <w:rPr>
          <w:b/>
          <w:sz w:val="24"/>
          <w:u w:val="single"/>
          <w:lang w:val="es-AR"/>
        </w:rPr>
      </w:pPr>
      <w:r w:rsidRPr="00416F55">
        <w:rPr>
          <w:b/>
          <w:sz w:val="24"/>
          <w:u w:val="single"/>
          <w:lang w:val="es-AR"/>
        </w:rPr>
        <w:t>Punto 4:</w:t>
      </w:r>
      <w:r w:rsidRPr="00416F55">
        <w:rPr>
          <w:b/>
          <w:sz w:val="24"/>
          <w:lang w:val="es-AR"/>
        </w:rPr>
        <w:t xml:space="preserve"> La concreción de instrumentos destinados a extender a sus empresas proveedoras los beneficios financieros asociados a la baja del riesgo por la constitución de la garantía de pago establecida en el artículo 40 del Anexo del Decreto N° 892/2020.</w:t>
      </w:r>
    </w:p>
    <w:p w14:paraId="46913DFF" w14:textId="126042BC" w:rsidR="000C2E85" w:rsidRDefault="000C2E85" w:rsidP="001E1697">
      <w:pPr>
        <w:jc w:val="both"/>
        <w:rPr>
          <w:lang w:val="es-AR"/>
        </w:rPr>
      </w:pPr>
    </w:p>
    <w:p w14:paraId="11ECE3BE" w14:textId="0D841BE7" w:rsidR="00025A23" w:rsidRDefault="00025A23" w:rsidP="001E1697">
      <w:pPr>
        <w:jc w:val="both"/>
        <w:rPr>
          <w:lang w:val="es-AR"/>
        </w:rPr>
      </w:pPr>
      <w:r w:rsidRPr="00B36B85">
        <w:rPr>
          <w:highlight w:val="yellow"/>
          <w:lang w:val="es-AR"/>
        </w:rPr>
        <w:t xml:space="preserve">YPF se compromete a respetar la cadena de pagos </w:t>
      </w:r>
      <w:r w:rsidR="00D2396A" w:rsidRPr="00B36B85">
        <w:rPr>
          <w:highlight w:val="yellow"/>
          <w:lang w:val="es-AR"/>
        </w:rPr>
        <w:t xml:space="preserve">de proveedores asociados con </w:t>
      </w:r>
      <w:r w:rsidRPr="00B36B85">
        <w:rPr>
          <w:highlight w:val="yellow"/>
          <w:lang w:val="es-AR"/>
        </w:rPr>
        <w:t xml:space="preserve">la actividad </w:t>
      </w:r>
      <w:r w:rsidR="00D2396A" w:rsidRPr="00B36B85">
        <w:rPr>
          <w:highlight w:val="yellow"/>
          <w:lang w:val="es-AR"/>
        </w:rPr>
        <w:t>de</w:t>
      </w:r>
      <w:r w:rsidRPr="00B36B85">
        <w:rPr>
          <w:highlight w:val="yellow"/>
          <w:lang w:val="es-AR"/>
        </w:rPr>
        <w:t>l plan gas</w:t>
      </w:r>
      <w:r>
        <w:rPr>
          <w:lang w:val="es-AR"/>
        </w:rPr>
        <w:t xml:space="preserve">, ecualizando el período de pago del subsidio </w:t>
      </w:r>
      <w:r w:rsidR="00D2396A">
        <w:rPr>
          <w:lang w:val="es-AR"/>
        </w:rPr>
        <w:t xml:space="preserve">al precio final del gas </w:t>
      </w:r>
      <w:r>
        <w:rPr>
          <w:lang w:val="es-AR"/>
        </w:rPr>
        <w:t xml:space="preserve">con el de la cadena de proveedores, </w:t>
      </w:r>
      <w:r w:rsidR="00D2396A">
        <w:rPr>
          <w:lang w:val="es-AR"/>
        </w:rPr>
        <w:t xml:space="preserve">y </w:t>
      </w:r>
      <w:r>
        <w:rPr>
          <w:lang w:val="es-AR"/>
        </w:rPr>
        <w:t xml:space="preserve">alineando los tiempos administrativos (certificación, pagos) a tal fin. </w:t>
      </w:r>
    </w:p>
    <w:p w14:paraId="3F0B090B" w14:textId="6ECC587A" w:rsidR="00D16C79" w:rsidRDefault="00D16C79" w:rsidP="00D16C79">
      <w:pPr>
        <w:tabs>
          <w:tab w:val="left" w:pos="1815"/>
        </w:tabs>
        <w:jc w:val="both"/>
        <w:rPr>
          <w:lang w:val="es-AR"/>
        </w:rPr>
      </w:pPr>
      <w:r>
        <w:rPr>
          <w:lang w:val="es-AR"/>
        </w:rPr>
        <w:tab/>
      </w:r>
    </w:p>
    <w:p w14:paraId="0C7227F6" w14:textId="306B35F6" w:rsidR="000D1279" w:rsidRDefault="00D16C79" w:rsidP="00D16C79">
      <w:pPr>
        <w:tabs>
          <w:tab w:val="left" w:pos="1815"/>
        </w:tabs>
        <w:rPr>
          <w:lang w:val="es-AR"/>
        </w:rPr>
      </w:pPr>
      <w:r>
        <w:rPr>
          <w:lang w:val="es-AR"/>
        </w:rPr>
        <w:tab/>
      </w:r>
    </w:p>
    <w:p w14:paraId="18AED7E4" w14:textId="77777777" w:rsidR="00646674" w:rsidRPr="00332DBA" w:rsidRDefault="00646674" w:rsidP="00F81B2F">
      <w:pPr>
        <w:jc w:val="both"/>
        <w:rPr>
          <w:lang w:val="es-AR"/>
        </w:rPr>
      </w:pPr>
    </w:p>
    <w:p w14:paraId="7AD3664C" w14:textId="77777777" w:rsidR="00CD5DA5" w:rsidRDefault="00CD5DA5" w:rsidP="008020BB">
      <w:pPr>
        <w:tabs>
          <w:tab w:val="left" w:pos="2847"/>
        </w:tabs>
        <w:rPr>
          <w:lang w:val="es-AR"/>
        </w:rPr>
      </w:pPr>
    </w:p>
    <w:p w14:paraId="1B0863E1" w14:textId="77777777" w:rsidR="00387897" w:rsidRDefault="00387897">
      <w:pPr>
        <w:rPr>
          <w:lang w:val="es-AR"/>
        </w:rPr>
      </w:pPr>
      <w:r>
        <w:rPr>
          <w:lang w:val="es-AR"/>
        </w:rPr>
        <w:br w:type="page"/>
      </w:r>
    </w:p>
    <w:p w14:paraId="67DFFCDF" w14:textId="1554A09F" w:rsidR="00780DEC" w:rsidRPr="00780DEC" w:rsidRDefault="00780DEC" w:rsidP="4A9F7927">
      <w:pPr>
        <w:jc w:val="both"/>
        <w:rPr>
          <w:lang w:val="es-AR"/>
        </w:rPr>
        <w:sectPr w:rsidR="00780DEC" w:rsidRPr="00780DEC" w:rsidSect="00996E5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pPr>
      <w:bookmarkStart w:id="2" w:name="_Hlk61966479"/>
    </w:p>
    <w:p w14:paraId="4DEDD3F7" w14:textId="613B83A0" w:rsidR="00A122B4" w:rsidRDefault="00A122B4" w:rsidP="00FB3AF1">
      <w:pPr>
        <w:pStyle w:val="Ttulo1"/>
        <w:jc w:val="center"/>
        <w:rPr>
          <w:lang w:val="es-AR"/>
        </w:rPr>
      </w:pPr>
      <w:bookmarkStart w:id="3" w:name="_Hlk63260469"/>
      <w:r>
        <w:rPr>
          <w:lang w:val="es-AR"/>
        </w:rPr>
        <w:lastRenderedPageBreak/>
        <w:t>Anexo</w:t>
      </w:r>
      <w:r w:rsidR="00862CBA">
        <w:rPr>
          <w:lang w:val="es-AR"/>
        </w:rPr>
        <w:t xml:space="preserve"> I</w:t>
      </w:r>
      <w:r>
        <w:rPr>
          <w:lang w:val="es-AR"/>
        </w:rPr>
        <w:t>: Estructura del Gasto en Servicios y Materiales por Pozo Tipo Promedio de Shale Gas</w:t>
      </w:r>
    </w:p>
    <w:p w14:paraId="37E979EE" w14:textId="48A2A12E" w:rsidR="00A122B4" w:rsidRDefault="00A51E04" w:rsidP="00FB3AF1">
      <w:pPr>
        <w:jc w:val="center"/>
        <w:rPr>
          <w:lang w:val="es-AR"/>
        </w:rPr>
      </w:pPr>
      <w:r w:rsidRPr="00A51E04">
        <w:rPr>
          <w:noProof/>
          <w:lang w:val="es-AR" w:eastAsia="es-AR"/>
        </w:rPr>
        <w:drawing>
          <wp:inline distT="0" distB="0" distL="0" distR="0" wp14:anchorId="5BA3F9BB" wp14:editId="4A645D85">
            <wp:extent cx="5612130" cy="3863074"/>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863074"/>
                    </a:xfrm>
                    <a:prstGeom prst="rect">
                      <a:avLst/>
                    </a:prstGeom>
                    <a:noFill/>
                    <a:ln>
                      <a:noFill/>
                    </a:ln>
                  </pic:spPr>
                </pic:pic>
              </a:graphicData>
            </a:graphic>
          </wp:inline>
        </w:drawing>
      </w:r>
    </w:p>
    <w:p w14:paraId="12F77914" w14:textId="4BFA80F9" w:rsidR="00387897" w:rsidRDefault="007E6FED" w:rsidP="2DC34D0F">
      <w:pPr>
        <w:jc w:val="both"/>
        <w:rPr>
          <w:i/>
          <w:iCs/>
          <w:lang w:val="es-AR"/>
        </w:rPr>
      </w:pPr>
      <w:r w:rsidRPr="2DC34D0F">
        <w:rPr>
          <w:i/>
          <w:iCs/>
          <w:lang w:val="es-AR"/>
        </w:rPr>
        <w:t>Nota</w:t>
      </w:r>
      <w:r w:rsidR="00394404" w:rsidRPr="2DC34D0F">
        <w:rPr>
          <w:i/>
          <w:iCs/>
          <w:lang w:val="es-AR"/>
        </w:rPr>
        <w:t xml:space="preserve"> I</w:t>
      </w:r>
      <w:r w:rsidRPr="2DC34D0F">
        <w:rPr>
          <w:i/>
          <w:iCs/>
          <w:lang w:val="es-AR"/>
        </w:rPr>
        <w:t>: Gasto en servicios y materiales para un pozo</w:t>
      </w:r>
      <w:r w:rsidR="00A364EB">
        <w:rPr>
          <w:i/>
          <w:iCs/>
          <w:lang w:val="es-AR"/>
        </w:rPr>
        <w:t xml:space="preserve"> tipo</w:t>
      </w:r>
      <w:r w:rsidRPr="2DC34D0F">
        <w:rPr>
          <w:i/>
          <w:iCs/>
          <w:lang w:val="es-AR"/>
        </w:rPr>
        <w:t xml:space="preserve"> de shale</w:t>
      </w:r>
      <w:r w:rsidR="00A364EB">
        <w:rPr>
          <w:i/>
          <w:iCs/>
          <w:lang w:val="es-AR"/>
        </w:rPr>
        <w:t>.</w:t>
      </w:r>
      <w:r w:rsidRPr="2DC34D0F">
        <w:rPr>
          <w:i/>
          <w:iCs/>
          <w:lang w:val="es-AR"/>
        </w:rPr>
        <w:t xml:space="preserve"> Los porcentajes son estimados sobre la base de la certificación </w:t>
      </w:r>
      <w:r w:rsidR="00D72CC7">
        <w:rPr>
          <w:i/>
          <w:iCs/>
          <w:lang w:val="es-AR"/>
        </w:rPr>
        <w:t>los últimos 17 pozos perforados durante el 2020.</w:t>
      </w:r>
    </w:p>
    <w:bookmarkEnd w:id="2"/>
    <w:p w14:paraId="07403156" w14:textId="64905869" w:rsidR="008E01DB" w:rsidRDefault="006B64C3" w:rsidP="00DB6373">
      <w:pPr>
        <w:jc w:val="both"/>
        <w:rPr>
          <w:i/>
          <w:iCs/>
          <w:lang w:val="es-AR"/>
        </w:rPr>
      </w:pPr>
      <w:r w:rsidRPr="2DC34D0F">
        <w:rPr>
          <w:i/>
          <w:iCs/>
          <w:lang w:val="es-AR"/>
        </w:rPr>
        <w:t>Nota</w:t>
      </w:r>
      <w:r w:rsidR="00394404" w:rsidRPr="2DC34D0F">
        <w:rPr>
          <w:i/>
          <w:iCs/>
          <w:lang w:val="es-AR"/>
        </w:rPr>
        <w:t xml:space="preserve"> II</w:t>
      </w:r>
      <w:r w:rsidRPr="2DC34D0F">
        <w:rPr>
          <w:i/>
          <w:iCs/>
          <w:lang w:val="es-AR"/>
        </w:rPr>
        <w:t xml:space="preserve"> – Clasificación de las etapas: etapa 10 (E10) es el “Armado de Locaciones”; etapa 20 (E20) es la “Perforación y Cementación del pozo”; etapa 30 (E30) corresponde a la “Terminación” del pozo; y etapa 40 (E40) a la “Bajada de Instalaciones Finales – BIF – y Sistema de Producción – SP”. </w:t>
      </w:r>
    </w:p>
    <w:p w14:paraId="255065A9" w14:textId="532449A4" w:rsidR="00862CBA" w:rsidRDefault="00862CBA" w:rsidP="00DB6373">
      <w:pPr>
        <w:jc w:val="both"/>
        <w:rPr>
          <w:lang w:val="es-AR"/>
        </w:rPr>
      </w:pPr>
      <w:r>
        <w:rPr>
          <w:lang w:val="es-AR"/>
        </w:rPr>
        <w:br w:type="page"/>
      </w:r>
    </w:p>
    <w:p w14:paraId="1858D180" w14:textId="1D6453B3" w:rsidR="00862CBA" w:rsidRDefault="00862CBA" w:rsidP="00862CBA">
      <w:pPr>
        <w:pStyle w:val="Ttulo1"/>
        <w:jc w:val="center"/>
        <w:rPr>
          <w:lang w:val="es-AR"/>
        </w:rPr>
      </w:pPr>
      <w:r>
        <w:rPr>
          <w:lang w:val="es-AR"/>
        </w:rPr>
        <w:lastRenderedPageBreak/>
        <w:t>Anexo II: Estructura del Gasto en Operación y Mantenimiento de Pozos de Shale Gas</w:t>
      </w:r>
    </w:p>
    <w:p w14:paraId="2CEBC9FA" w14:textId="77777777" w:rsidR="00F511ED" w:rsidRPr="00F511ED" w:rsidRDefault="00F511ED" w:rsidP="00F511ED">
      <w:pPr>
        <w:rPr>
          <w:lang w:val="es-AR"/>
        </w:rPr>
      </w:pPr>
    </w:p>
    <w:p w14:paraId="157241BE" w14:textId="271553B4" w:rsidR="000764AC" w:rsidRPr="000764AC" w:rsidRDefault="001F5790" w:rsidP="001A2C81">
      <w:pPr>
        <w:jc w:val="center"/>
        <w:rPr>
          <w:lang w:val="es-AR"/>
        </w:rPr>
      </w:pPr>
      <w:r w:rsidRPr="001F5790">
        <w:rPr>
          <w:noProof/>
          <w:lang w:val="es-AR" w:eastAsia="es-AR"/>
        </w:rPr>
        <w:drawing>
          <wp:inline distT="0" distB="0" distL="0" distR="0" wp14:anchorId="28E2BAC0" wp14:editId="6F8C2A53">
            <wp:extent cx="5612130" cy="2070236"/>
            <wp:effectExtent l="0" t="0" r="762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070236"/>
                    </a:xfrm>
                    <a:prstGeom prst="rect">
                      <a:avLst/>
                    </a:prstGeom>
                    <a:noFill/>
                    <a:ln>
                      <a:noFill/>
                    </a:ln>
                  </pic:spPr>
                </pic:pic>
              </a:graphicData>
            </a:graphic>
          </wp:inline>
        </w:drawing>
      </w:r>
    </w:p>
    <w:p w14:paraId="1D5FE25D" w14:textId="61DC8849" w:rsidR="004D7D26" w:rsidRDefault="00862CBA" w:rsidP="001A2C81">
      <w:pPr>
        <w:jc w:val="both"/>
        <w:rPr>
          <w:i/>
          <w:lang w:val="es-AR"/>
        </w:rPr>
      </w:pPr>
      <w:r w:rsidRPr="007E6FED">
        <w:rPr>
          <w:i/>
          <w:lang w:val="es-AR"/>
        </w:rPr>
        <w:t xml:space="preserve">Nota: </w:t>
      </w:r>
      <w:r w:rsidR="00E30261">
        <w:rPr>
          <w:i/>
          <w:lang w:val="es-AR"/>
        </w:rPr>
        <w:t xml:space="preserve">Gasto Estimado según la distribución del OPEX </w:t>
      </w:r>
      <w:r w:rsidR="00CC6B4F">
        <w:rPr>
          <w:i/>
          <w:lang w:val="es-AR"/>
        </w:rPr>
        <w:t>promedio</w:t>
      </w:r>
      <w:r w:rsidR="009D4DD5">
        <w:rPr>
          <w:i/>
          <w:lang w:val="es-AR"/>
        </w:rPr>
        <w:t>, separado por tipo de empresa</w:t>
      </w:r>
      <w:bookmarkEnd w:id="3"/>
    </w:p>
    <w:p w14:paraId="1E920CC2" w14:textId="3F27C9FB" w:rsidR="00D0638B" w:rsidRDefault="00D0638B">
      <w:pPr>
        <w:rPr>
          <w:i/>
          <w:lang w:val="es-AR"/>
        </w:rPr>
      </w:pPr>
      <w:r>
        <w:rPr>
          <w:i/>
          <w:lang w:val="es-AR"/>
        </w:rPr>
        <w:br w:type="page"/>
      </w:r>
    </w:p>
    <w:p w14:paraId="6D1DB8CC" w14:textId="4053B15A" w:rsidR="00D0638B" w:rsidRDefault="00D0638B" w:rsidP="00D0638B">
      <w:pPr>
        <w:pStyle w:val="Ttulo1"/>
        <w:jc w:val="center"/>
        <w:rPr>
          <w:lang w:val="es-AR"/>
        </w:rPr>
      </w:pPr>
      <w:r>
        <w:rPr>
          <w:lang w:val="es-AR"/>
        </w:rPr>
        <w:lastRenderedPageBreak/>
        <w:t>Anexo III: Puntos Críticos / Cuellos de Botella identificados en la Construcción de Pozos en Vaca Muerta</w:t>
      </w:r>
    </w:p>
    <w:p w14:paraId="747C8383" w14:textId="68EA2244" w:rsidR="00D0638B" w:rsidRDefault="00D0638B" w:rsidP="001A2C81">
      <w:pPr>
        <w:jc w:val="both"/>
        <w:rPr>
          <w:lang w:val="es-AR"/>
        </w:rPr>
      </w:pPr>
    </w:p>
    <w:p w14:paraId="3AC839D2" w14:textId="0D6D7684" w:rsidR="006C3B57" w:rsidRDefault="006C3B57" w:rsidP="006C3B57">
      <w:pPr>
        <w:jc w:val="both"/>
        <w:rPr>
          <w:lang w:val="es-AR"/>
        </w:rPr>
      </w:pPr>
      <w:r>
        <w:rPr>
          <w:lang w:val="es-AR"/>
        </w:rPr>
        <w:t xml:space="preserve">El análisis a continuación resume 7 puntos críticos para bajar el costo </w:t>
      </w:r>
      <w:r w:rsidR="001F5790">
        <w:rPr>
          <w:lang w:val="es-AR"/>
        </w:rPr>
        <w:t>pozo</w:t>
      </w:r>
      <w:r>
        <w:rPr>
          <w:rStyle w:val="Refdenotaalpie"/>
          <w:lang w:val="es-AR"/>
        </w:rPr>
        <w:footnoteReference w:id="10"/>
      </w:r>
      <w:r w:rsidR="003B1325">
        <w:rPr>
          <w:lang w:val="es-AR"/>
        </w:rPr>
        <w:t>, identificados a partir del cuadro del Anexo I</w:t>
      </w:r>
      <w:r>
        <w:rPr>
          <w:lang w:val="es-AR"/>
        </w:rPr>
        <w:t>:</w:t>
      </w:r>
    </w:p>
    <w:p w14:paraId="0C28EB1E" w14:textId="255E0517" w:rsidR="006C3B57" w:rsidRDefault="00143E90" w:rsidP="006C3B57">
      <w:pPr>
        <w:pStyle w:val="Prrafodelista"/>
        <w:numPr>
          <w:ilvl w:val="0"/>
          <w:numId w:val="34"/>
        </w:numPr>
        <w:jc w:val="both"/>
        <w:rPr>
          <w:lang w:val="es-AR"/>
        </w:rPr>
      </w:pPr>
      <w:r w:rsidRPr="003B1325" w:rsidDel="00143E90">
        <w:rPr>
          <w:b/>
          <w:lang w:val="es-AR"/>
        </w:rPr>
        <w:t xml:space="preserve"> </w:t>
      </w:r>
      <w:r w:rsidR="003B1325" w:rsidRPr="003B1325">
        <w:rPr>
          <w:b/>
          <w:lang w:val="es-AR"/>
        </w:rPr>
        <w:t>[</w:t>
      </w:r>
      <w:r w:rsidR="003B1325">
        <w:rPr>
          <w:b/>
          <w:lang w:val="es-AR"/>
        </w:rPr>
        <w:t>TORRE + DIRECCIONAL</w:t>
      </w:r>
      <w:r w:rsidR="003B1325" w:rsidRPr="003B1325">
        <w:rPr>
          <w:b/>
          <w:lang w:val="es-AR"/>
        </w:rPr>
        <w:t xml:space="preserve"> – E20]</w:t>
      </w:r>
      <w:r w:rsidR="003B1325">
        <w:rPr>
          <w:b/>
          <w:lang w:val="es-AR"/>
        </w:rPr>
        <w:t xml:space="preserve"> </w:t>
      </w:r>
      <w:r w:rsidR="006C3B57">
        <w:rPr>
          <w:lang w:val="es-AR"/>
        </w:rPr>
        <w:t xml:space="preserve">Disminución del costo de perforación (y servicios auxiliares como direccional, principalmente) por mejoras en el </w:t>
      </w:r>
      <w:proofErr w:type="spellStart"/>
      <w:r w:rsidR="006C3B57" w:rsidRPr="007E6FED">
        <w:rPr>
          <w:i/>
          <w:lang w:val="es-AR"/>
        </w:rPr>
        <w:t>rate</w:t>
      </w:r>
      <w:proofErr w:type="spellEnd"/>
      <w:r w:rsidR="006C3B57" w:rsidRPr="007E6FED">
        <w:rPr>
          <w:i/>
          <w:lang w:val="es-AR"/>
        </w:rPr>
        <w:t xml:space="preserve"> of </w:t>
      </w:r>
      <w:proofErr w:type="spellStart"/>
      <w:r w:rsidR="006C3B57" w:rsidRPr="007E6FED">
        <w:rPr>
          <w:i/>
          <w:lang w:val="es-AR"/>
        </w:rPr>
        <w:t>penetration</w:t>
      </w:r>
      <w:proofErr w:type="spellEnd"/>
      <w:r w:rsidR="006C3B57">
        <w:rPr>
          <w:lang w:val="es-AR"/>
        </w:rPr>
        <w:t xml:space="preserve"> (ROP) disminuyendo los días totales requeridos en la perforación de pozos</w:t>
      </w:r>
    </w:p>
    <w:p w14:paraId="18D082D7" w14:textId="2F2D951A" w:rsidR="006C3B57" w:rsidRDefault="003B1325" w:rsidP="006C3B57">
      <w:pPr>
        <w:pStyle w:val="Prrafodelista"/>
        <w:numPr>
          <w:ilvl w:val="0"/>
          <w:numId w:val="34"/>
        </w:numPr>
        <w:jc w:val="both"/>
        <w:rPr>
          <w:lang w:val="es-AR"/>
        </w:rPr>
      </w:pPr>
      <w:r w:rsidRPr="003B1325">
        <w:rPr>
          <w:b/>
          <w:lang w:val="es-AR"/>
        </w:rPr>
        <w:t>[</w:t>
      </w:r>
      <w:r>
        <w:rPr>
          <w:b/>
          <w:lang w:val="es-AR"/>
        </w:rPr>
        <w:t>CEMENTO</w:t>
      </w:r>
      <w:r w:rsidRPr="003B1325">
        <w:rPr>
          <w:b/>
          <w:lang w:val="es-AR"/>
        </w:rPr>
        <w:t xml:space="preserve"> – E20]</w:t>
      </w:r>
      <w:r>
        <w:rPr>
          <w:b/>
          <w:lang w:val="es-AR"/>
        </w:rPr>
        <w:t xml:space="preserve"> </w:t>
      </w:r>
      <w:r w:rsidR="006C3B57">
        <w:rPr>
          <w:lang w:val="es-AR"/>
        </w:rPr>
        <w:t>Disminución del costo de cementación, mejorando el diseño contractual y desarrollo de proveedores locales</w:t>
      </w:r>
    </w:p>
    <w:p w14:paraId="12383AA4" w14:textId="7510F6EA" w:rsidR="006C3B57" w:rsidRDefault="00940ED1" w:rsidP="006C3B57">
      <w:pPr>
        <w:pStyle w:val="Prrafodelista"/>
        <w:numPr>
          <w:ilvl w:val="0"/>
          <w:numId w:val="34"/>
        </w:numPr>
        <w:jc w:val="both"/>
        <w:rPr>
          <w:lang w:val="es-AR"/>
        </w:rPr>
      </w:pPr>
      <w:r w:rsidRPr="003B1325">
        <w:rPr>
          <w:b/>
          <w:lang w:val="es-AR"/>
        </w:rPr>
        <w:t>[</w:t>
      </w:r>
      <w:r>
        <w:rPr>
          <w:b/>
          <w:lang w:val="es-AR"/>
        </w:rPr>
        <w:t>CABEZAL</w:t>
      </w:r>
      <w:r w:rsidRPr="003B1325">
        <w:rPr>
          <w:b/>
          <w:lang w:val="es-AR"/>
        </w:rPr>
        <w:t xml:space="preserve"> – E20]</w:t>
      </w:r>
      <w:r>
        <w:rPr>
          <w:b/>
          <w:lang w:val="es-AR"/>
        </w:rPr>
        <w:t xml:space="preserve"> </w:t>
      </w:r>
      <w:r w:rsidR="006C3B57">
        <w:rPr>
          <w:lang w:val="es-AR"/>
        </w:rPr>
        <w:t>Disminución del costo de cabezales (material más servicio), implementando diseños contractuales que capturen la eficiencia dinámica de los proveedores</w:t>
      </w:r>
    </w:p>
    <w:p w14:paraId="122E5277" w14:textId="3A29617D" w:rsidR="006C3B57" w:rsidRDefault="00940ED1" w:rsidP="006C3B57">
      <w:pPr>
        <w:pStyle w:val="Prrafodelista"/>
        <w:numPr>
          <w:ilvl w:val="0"/>
          <w:numId w:val="34"/>
        </w:numPr>
        <w:jc w:val="both"/>
        <w:rPr>
          <w:lang w:val="es-AR"/>
        </w:rPr>
      </w:pPr>
      <w:r w:rsidRPr="003B1325">
        <w:rPr>
          <w:b/>
          <w:lang w:val="es-AR"/>
        </w:rPr>
        <w:t>[</w:t>
      </w:r>
      <w:r>
        <w:rPr>
          <w:b/>
          <w:lang w:val="es-AR"/>
        </w:rPr>
        <w:t>BUNDLE</w:t>
      </w:r>
      <w:r w:rsidRPr="003B1325">
        <w:rPr>
          <w:b/>
          <w:lang w:val="es-AR"/>
        </w:rPr>
        <w:t xml:space="preserve"> – E</w:t>
      </w:r>
      <w:r>
        <w:rPr>
          <w:b/>
          <w:lang w:val="es-AR"/>
        </w:rPr>
        <w:t>3</w:t>
      </w:r>
      <w:r w:rsidRPr="003B1325">
        <w:rPr>
          <w:b/>
          <w:lang w:val="es-AR"/>
        </w:rPr>
        <w:t>0]</w:t>
      </w:r>
      <w:r>
        <w:rPr>
          <w:b/>
          <w:lang w:val="es-AR"/>
        </w:rPr>
        <w:t xml:space="preserve"> </w:t>
      </w:r>
      <w:r w:rsidR="006C3B57">
        <w:rPr>
          <w:lang w:val="es-AR"/>
        </w:rPr>
        <w:t xml:space="preserve">Disminución del costo de fractura, que es un servicio </w:t>
      </w:r>
      <w:proofErr w:type="spellStart"/>
      <w:r w:rsidR="006C3B57">
        <w:rPr>
          <w:i/>
          <w:lang w:val="es-AR"/>
        </w:rPr>
        <w:t>core</w:t>
      </w:r>
      <w:proofErr w:type="spellEnd"/>
      <w:r w:rsidR="006C3B57">
        <w:rPr>
          <w:lang w:val="es-AR"/>
        </w:rPr>
        <w:t xml:space="preserve"> en la construcción de pozos, mediante el uso compartido con otras operadoras del recurso (licuación de costos fijos), mayor escala industrial y eventualmente acciones dirigidas a desarrollo de proveedores del segundo anillo y/o importación de bienes usados</w:t>
      </w:r>
    </w:p>
    <w:p w14:paraId="161E4B24" w14:textId="6D43DEC6" w:rsidR="006C3B57" w:rsidRDefault="00940ED1" w:rsidP="006C3B57">
      <w:pPr>
        <w:pStyle w:val="Prrafodelista"/>
        <w:numPr>
          <w:ilvl w:val="0"/>
          <w:numId w:val="34"/>
        </w:numPr>
        <w:jc w:val="both"/>
        <w:rPr>
          <w:lang w:val="es-AR"/>
        </w:rPr>
      </w:pPr>
      <w:r w:rsidRPr="003B1325">
        <w:rPr>
          <w:b/>
          <w:lang w:val="es-AR"/>
        </w:rPr>
        <w:t>[</w:t>
      </w:r>
      <w:r>
        <w:rPr>
          <w:b/>
          <w:lang w:val="es-AR"/>
        </w:rPr>
        <w:t>LOGISTICA</w:t>
      </w:r>
      <w:r w:rsidRPr="003B1325">
        <w:rPr>
          <w:b/>
          <w:lang w:val="es-AR"/>
        </w:rPr>
        <w:t xml:space="preserve"> – E</w:t>
      </w:r>
      <w:r>
        <w:rPr>
          <w:b/>
          <w:lang w:val="es-AR"/>
        </w:rPr>
        <w:t>3</w:t>
      </w:r>
      <w:r w:rsidRPr="003B1325">
        <w:rPr>
          <w:b/>
          <w:lang w:val="es-AR"/>
        </w:rPr>
        <w:t>0]</w:t>
      </w:r>
      <w:r>
        <w:rPr>
          <w:b/>
          <w:lang w:val="es-AR"/>
        </w:rPr>
        <w:t xml:space="preserve"> </w:t>
      </w:r>
      <w:r w:rsidR="006C3B57">
        <w:rPr>
          <w:lang w:val="es-AR"/>
        </w:rPr>
        <w:t xml:space="preserve">Optimización de la logística global (salas de control, optimización a escala industrial) y del agua en particular, implementando contratos </w:t>
      </w:r>
      <w:r w:rsidR="006C3B57" w:rsidRPr="00E12912">
        <w:rPr>
          <w:lang w:val="es-AR"/>
        </w:rPr>
        <w:t>que bajan el TCO</w:t>
      </w:r>
      <w:r w:rsidR="006C3B57">
        <w:rPr>
          <w:rStyle w:val="Refdenotaalpie"/>
          <w:lang w:val="es-AR"/>
        </w:rPr>
        <w:footnoteReference w:id="11"/>
      </w:r>
      <w:r w:rsidR="006C3B57" w:rsidRPr="00E12912">
        <w:rPr>
          <w:lang w:val="es-AR"/>
        </w:rPr>
        <w:t xml:space="preserve"> de las operaciones. También el costo de la logística puede optimizarse con la mayor escala de desarrollo de Vaca Muerta, y de una manera estructural, con proyectos como el tren </w:t>
      </w:r>
      <w:proofErr w:type="spellStart"/>
      <w:r w:rsidR="006C3B57" w:rsidRPr="00E12912">
        <w:rPr>
          <w:lang w:val="es-AR"/>
        </w:rPr>
        <w:t>Norpatagónico</w:t>
      </w:r>
      <w:proofErr w:type="spellEnd"/>
      <w:r w:rsidR="006C3B57">
        <w:rPr>
          <w:rStyle w:val="Refdenotaalpie"/>
          <w:lang w:val="es-AR"/>
        </w:rPr>
        <w:footnoteReference w:id="12"/>
      </w:r>
      <w:r w:rsidR="006C3B57" w:rsidRPr="00E12912">
        <w:rPr>
          <w:lang w:val="es-AR"/>
        </w:rPr>
        <w:t xml:space="preserve"> que permitiría bajar el costo de largo plazo del transporte de arena y otros insumos.  </w:t>
      </w:r>
    </w:p>
    <w:p w14:paraId="2335687D" w14:textId="36BDA17D" w:rsidR="006C3B57" w:rsidRPr="007E6FED" w:rsidRDefault="00940ED1" w:rsidP="006C3B57">
      <w:pPr>
        <w:pStyle w:val="Prrafodelista"/>
        <w:numPr>
          <w:ilvl w:val="0"/>
          <w:numId w:val="34"/>
        </w:numPr>
        <w:jc w:val="both"/>
        <w:rPr>
          <w:lang w:val="es-AR"/>
        </w:rPr>
      </w:pPr>
      <w:r w:rsidRPr="003B1325">
        <w:rPr>
          <w:b/>
          <w:lang w:val="es-AR"/>
        </w:rPr>
        <w:t>[</w:t>
      </w:r>
      <w:r>
        <w:rPr>
          <w:b/>
          <w:lang w:val="es-AR"/>
        </w:rPr>
        <w:t>BIF + BM</w:t>
      </w:r>
      <w:r w:rsidRPr="003B1325">
        <w:rPr>
          <w:b/>
          <w:lang w:val="es-AR"/>
        </w:rPr>
        <w:t xml:space="preserve"> – E</w:t>
      </w:r>
      <w:r>
        <w:rPr>
          <w:b/>
          <w:lang w:val="es-AR"/>
        </w:rPr>
        <w:t>4</w:t>
      </w:r>
      <w:r w:rsidRPr="003B1325">
        <w:rPr>
          <w:b/>
          <w:lang w:val="es-AR"/>
        </w:rPr>
        <w:t>0]</w:t>
      </w:r>
      <w:r>
        <w:rPr>
          <w:b/>
          <w:lang w:val="es-AR"/>
        </w:rPr>
        <w:t xml:space="preserve"> </w:t>
      </w:r>
      <w:r w:rsidR="006C3B57">
        <w:rPr>
          <w:lang w:val="es-AR"/>
        </w:rPr>
        <w:t xml:space="preserve">Negociar e implementar mejoras contractuales para disminuir el costo de la bajada de instalaciones finales (BIF) y de las bombas mecánicas.  </w:t>
      </w:r>
    </w:p>
    <w:p w14:paraId="79317C07" w14:textId="40A848C9" w:rsidR="006C3B57" w:rsidRPr="004D7D26" w:rsidRDefault="006C3B57" w:rsidP="00D82755">
      <w:pPr>
        <w:jc w:val="center"/>
        <w:rPr>
          <w:lang w:val="es-AR"/>
        </w:rPr>
      </w:pPr>
    </w:p>
    <w:sectPr w:rsidR="006C3B57" w:rsidRPr="004D7D26" w:rsidSect="00862CB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9FB04" w14:textId="77777777" w:rsidR="002A31CD" w:rsidRDefault="002A31CD" w:rsidP="00531973">
      <w:pPr>
        <w:spacing w:after="0" w:line="240" w:lineRule="auto"/>
      </w:pPr>
      <w:r>
        <w:separator/>
      </w:r>
    </w:p>
  </w:endnote>
  <w:endnote w:type="continuationSeparator" w:id="0">
    <w:p w14:paraId="6D97D42B" w14:textId="77777777" w:rsidR="002A31CD" w:rsidRDefault="002A31CD" w:rsidP="00531973">
      <w:pPr>
        <w:spacing w:after="0" w:line="240" w:lineRule="auto"/>
      </w:pPr>
      <w:r>
        <w:continuationSeparator/>
      </w:r>
    </w:p>
  </w:endnote>
  <w:endnote w:type="continuationNotice" w:id="1">
    <w:p w14:paraId="1FE7BD6D" w14:textId="77777777" w:rsidR="002A31CD" w:rsidRDefault="002A3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4FC1" w14:textId="77777777" w:rsidR="007C6BE3" w:rsidRDefault="007C6B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E56E" w14:textId="562537E6" w:rsidR="00B46A18" w:rsidRDefault="00B46A18">
    <w:pPr>
      <w:pStyle w:val="Piedepgina"/>
    </w:pPr>
    <w:r>
      <w:rPr>
        <w:noProof/>
        <w:lang w:val="es-AR" w:eastAsia="es-AR"/>
      </w:rPr>
      <mc:AlternateContent>
        <mc:Choice Requires="wps">
          <w:drawing>
            <wp:anchor distT="0" distB="0" distL="114300" distR="114300" simplePos="0" relativeHeight="251660288" behindDoc="0" locked="0" layoutInCell="0" allowOverlap="1" wp14:anchorId="6CDE4C64" wp14:editId="2F00AD8F">
              <wp:simplePos x="0" y="0"/>
              <wp:positionH relativeFrom="page">
                <wp:posOffset>0</wp:posOffset>
              </wp:positionH>
              <wp:positionV relativeFrom="page">
                <wp:posOffset>9601200</wp:posOffset>
              </wp:positionV>
              <wp:extent cx="7772400" cy="266700"/>
              <wp:effectExtent l="0" t="0" r="0" b="0"/>
              <wp:wrapNone/>
              <wp:docPr id="6" name="MSIPCMc8d84f8bb6788034270248e2" descr="{&quot;HashCode&quot;:-13679990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01953" w14:textId="6A71E8A7" w:rsidR="00B46A18" w:rsidRPr="00B46A18" w:rsidRDefault="007C6BE3" w:rsidP="00B46A18">
                          <w:pPr>
                            <w:spacing w:after="0"/>
                            <w:jc w:val="right"/>
                            <w:rPr>
                              <w:rFonts w:ascii="Calibri" w:hAnsi="Calibri" w:cs="Calibri"/>
                              <w:color w:val="000000"/>
                              <w:sz w:val="20"/>
                            </w:rPr>
                          </w:pPr>
                          <w:r>
                            <w:rPr>
                              <w:rFonts w:ascii="Calibri" w:hAnsi="Calibri" w:cs="Calibri"/>
                              <w:color w:val="000000"/>
                              <w:sz w:val="20"/>
                            </w:rPr>
                            <w:t>YPF S.A</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E4C64" id="_x0000_t202" coordsize="21600,21600" o:spt="202" path="m,l,21600r21600,l21600,xe">
              <v:stroke joinstyle="miter"/>
              <v:path gradientshapeok="t" o:connecttype="rect"/>
            </v:shapetype>
            <v:shape id="MSIPCMc8d84f8bb6788034270248e2" o:spid="_x0000_s1027" type="#_x0000_t202" alt="{&quot;HashCode&quot;:-1367999023,&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" o:allowincell="f" filled="f" stroked="f" strokeweight=".5pt">
              <v:textbox inset=",0,20pt,0">
                <w:txbxContent>
                  <w:p w14:paraId="67201953" w14:textId="6A71E8A7" w:rsidR="00B46A18" w:rsidRPr="00B46A18" w:rsidRDefault="007C6BE3" w:rsidP="00B46A18">
                    <w:pPr>
                      <w:spacing w:after="0"/>
                      <w:jc w:val="right"/>
                      <w:rPr>
                        <w:rFonts w:ascii="Calibri" w:hAnsi="Calibri" w:cs="Calibri"/>
                        <w:color w:val="000000"/>
                        <w:sz w:val="20"/>
                      </w:rPr>
                    </w:pPr>
                    <w:r>
                      <w:rPr>
                        <w:rFonts w:ascii="Calibri" w:hAnsi="Calibri" w:cs="Calibri"/>
                        <w:color w:val="000000"/>
                        <w:sz w:val="20"/>
                      </w:rPr>
                      <w:t>YPF S.A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7ED6" w14:textId="77777777" w:rsidR="007C6BE3" w:rsidRDefault="007C6B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9792B" w14:textId="77777777" w:rsidR="002A31CD" w:rsidRDefault="002A31CD" w:rsidP="00531973">
      <w:pPr>
        <w:spacing w:after="0" w:line="240" w:lineRule="auto"/>
      </w:pPr>
      <w:r>
        <w:separator/>
      </w:r>
    </w:p>
  </w:footnote>
  <w:footnote w:type="continuationSeparator" w:id="0">
    <w:p w14:paraId="58D03F0B" w14:textId="77777777" w:rsidR="002A31CD" w:rsidRDefault="002A31CD" w:rsidP="00531973">
      <w:pPr>
        <w:spacing w:after="0" w:line="240" w:lineRule="auto"/>
      </w:pPr>
      <w:r>
        <w:continuationSeparator/>
      </w:r>
    </w:p>
  </w:footnote>
  <w:footnote w:type="continuationNotice" w:id="1">
    <w:p w14:paraId="1243D26D" w14:textId="77777777" w:rsidR="002A31CD" w:rsidRDefault="002A31CD">
      <w:pPr>
        <w:spacing w:after="0" w:line="240" w:lineRule="auto"/>
      </w:pPr>
    </w:p>
  </w:footnote>
  <w:footnote w:id="2">
    <w:p w14:paraId="5C59EB11" w14:textId="7241035D" w:rsidR="000018C7" w:rsidRPr="0071213B" w:rsidRDefault="000018C7">
      <w:pPr>
        <w:pStyle w:val="Textonotapie"/>
        <w:rPr>
          <w:lang w:val="es-AR"/>
        </w:rPr>
      </w:pPr>
      <w:r>
        <w:rPr>
          <w:rStyle w:val="Refdenotaalpie"/>
        </w:rPr>
        <w:footnoteRef/>
      </w:r>
      <w:r w:rsidRPr="0071213B">
        <w:rPr>
          <w:lang w:val="es-AR"/>
        </w:rPr>
        <w:t xml:space="preserve"> </w:t>
      </w:r>
      <w:r>
        <w:rPr>
          <w:lang w:val="es-AR"/>
        </w:rPr>
        <w:t>El valor del último trimestre de 2020 (Q4-2020) es un estimado.</w:t>
      </w:r>
    </w:p>
  </w:footnote>
  <w:footnote w:id="3">
    <w:p w14:paraId="4C85CD99" w14:textId="41F7801D" w:rsidR="000018C7" w:rsidRPr="00A122B4" w:rsidRDefault="000018C7" w:rsidP="00441584">
      <w:pPr>
        <w:pStyle w:val="Textonotapie"/>
        <w:jc w:val="both"/>
        <w:rPr>
          <w:lang w:val="es-AR"/>
        </w:rPr>
      </w:pPr>
      <w:r>
        <w:rPr>
          <w:rStyle w:val="Refdenotaalpie"/>
        </w:rPr>
        <w:footnoteRef/>
      </w:r>
      <w:r w:rsidRPr="00A122B4">
        <w:rPr>
          <w:lang w:val="es-AR"/>
        </w:rPr>
        <w:t xml:space="preserve"> </w:t>
      </w:r>
      <w:r>
        <w:rPr>
          <w:lang w:val="es-AR"/>
        </w:rPr>
        <w:t>En el Anexo I se presenta con mayor detalle la estructura de gasto promedio para el pozo tipo de shale gas.</w:t>
      </w:r>
    </w:p>
  </w:footnote>
  <w:footnote w:id="4">
    <w:p w14:paraId="442D38B4" w14:textId="38540F32" w:rsidR="000018C7" w:rsidRPr="0082735A" w:rsidRDefault="000018C7" w:rsidP="00441584">
      <w:pPr>
        <w:pStyle w:val="Textonotapie"/>
        <w:jc w:val="both"/>
        <w:rPr>
          <w:lang w:val="es-AR"/>
        </w:rPr>
      </w:pPr>
      <w:r>
        <w:rPr>
          <w:rStyle w:val="Refdenotaalpie"/>
        </w:rPr>
        <w:footnoteRef/>
      </w:r>
      <w:r w:rsidRPr="001759B6">
        <w:rPr>
          <w:lang w:val="es-AR"/>
        </w:rPr>
        <w:t xml:space="preserve"> </w:t>
      </w:r>
      <w:r>
        <w:rPr>
          <w:lang w:val="es-AR"/>
        </w:rPr>
        <w:t>Normalmente a estas fases se las denomina en la jerga petrolera como etapa 10 (E10), etapa 20 (E</w:t>
      </w:r>
      <w:r w:rsidRPr="0082735A">
        <w:rPr>
          <w:lang w:val="es-AR"/>
        </w:rPr>
        <w:t xml:space="preserve">20), etapa 30 (E30) y etapa 40 (E40), respectivamente. </w:t>
      </w:r>
    </w:p>
  </w:footnote>
  <w:footnote w:id="5">
    <w:p w14:paraId="7F21731B" w14:textId="7CC3730E" w:rsidR="008E01DB" w:rsidRPr="008E01DB" w:rsidRDefault="008E01DB">
      <w:pPr>
        <w:pStyle w:val="Textonotapie"/>
        <w:rPr>
          <w:lang w:val="es-AR"/>
        </w:rPr>
      </w:pPr>
      <w:r>
        <w:rPr>
          <w:rStyle w:val="Refdenotaalpie"/>
        </w:rPr>
        <w:footnoteRef/>
      </w:r>
      <w:r w:rsidRPr="008E01DB">
        <w:rPr>
          <w:lang w:val="es-AR"/>
        </w:rPr>
        <w:t xml:space="preserve"> </w:t>
      </w:r>
      <w:r>
        <w:rPr>
          <w:lang w:val="es-AR"/>
        </w:rPr>
        <w:t>La empresa AESA se incluye como Nacional, y representa 2% del costo pozo.</w:t>
      </w:r>
    </w:p>
  </w:footnote>
  <w:footnote w:id="6">
    <w:p w14:paraId="70798591" w14:textId="49E4FC4D" w:rsidR="0025288B" w:rsidRPr="0025288B" w:rsidRDefault="0025288B">
      <w:pPr>
        <w:pStyle w:val="Textonotapie"/>
        <w:rPr>
          <w:lang w:val="es-AR"/>
        </w:rPr>
      </w:pPr>
      <w:r>
        <w:rPr>
          <w:rStyle w:val="Refdenotaalpie"/>
        </w:rPr>
        <w:footnoteRef/>
      </w:r>
      <w:r w:rsidRPr="0025288B">
        <w:rPr>
          <w:lang w:val="es-AR"/>
        </w:rPr>
        <w:t xml:space="preserve"> </w:t>
      </w:r>
      <w:r>
        <w:rPr>
          <w:lang w:val="es-AR"/>
        </w:rPr>
        <w:t xml:space="preserve">La empresa AESA se incluye como Nacional, y representa 19% del </w:t>
      </w:r>
      <w:proofErr w:type="spellStart"/>
      <w:r>
        <w:rPr>
          <w:lang w:val="es-AR"/>
        </w:rPr>
        <w:t>opex</w:t>
      </w:r>
      <w:proofErr w:type="spellEnd"/>
      <w:r>
        <w:rPr>
          <w:lang w:val="es-AR"/>
        </w:rPr>
        <w:t xml:space="preserve"> pozo.</w:t>
      </w:r>
    </w:p>
  </w:footnote>
  <w:footnote w:id="7">
    <w:p w14:paraId="14BB1CC8" w14:textId="6E197608" w:rsidR="000018C7" w:rsidRPr="00C3698C" w:rsidRDefault="000018C7">
      <w:pPr>
        <w:pStyle w:val="Textonotapie"/>
        <w:rPr>
          <w:lang w:val="es-AR"/>
        </w:rPr>
      </w:pPr>
      <w:r>
        <w:rPr>
          <w:rStyle w:val="Refdenotaalpie"/>
        </w:rPr>
        <w:footnoteRef/>
      </w:r>
      <w:r w:rsidRPr="00C3698C">
        <w:rPr>
          <w:lang w:val="es-AR"/>
        </w:rPr>
        <w:t xml:space="preserve"> </w:t>
      </w:r>
      <w:r>
        <w:rPr>
          <w:lang w:val="es-AR"/>
        </w:rPr>
        <w:t>Acumulado enero-noviembre 2020.</w:t>
      </w:r>
    </w:p>
  </w:footnote>
  <w:footnote w:id="8">
    <w:p w14:paraId="55CCB3C7" w14:textId="5CFF24CF" w:rsidR="000018C7" w:rsidRPr="00160BB8" w:rsidRDefault="000018C7">
      <w:pPr>
        <w:pStyle w:val="Textonotapie"/>
        <w:rPr>
          <w:lang w:val="es-AR"/>
        </w:rPr>
      </w:pPr>
      <w:r>
        <w:rPr>
          <w:rStyle w:val="Refdenotaalpie"/>
        </w:rPr>
        <w:footnoteRef/>
      </w:r>
      <w:r w:rsidRPr="00160BB8">
        <w:rPr>
          <w:lang w:val="es-AR"/>
        </w:rPr>
        <w:t xml:space="preserve"> Arenas cerámicas r</w:t>
      </w:r>
      <w:r>
        <w:rPr>
          <w:lang w:val="es-AR"/>
        </w:rPr>
        <w:t xml:space="preserve">equeridas en la fase de delineación / desarrollo de pilotos de pozos </w:t>
      </w:r>
      <w:r>
        <w:rPr>
          <w:i/>
          <w:lang w:val="es-AR"/>
        </w:rPr>
        <w:t>shale</w:t>
      </w:r>
      <w:r>
        <w:rPr>
          <w:lang w:val="es-AR"/>
        </w:rPr>
        <w:t>.</w:t>
      </w:r>
    </w:p>
  </w:footnote>
  <w:footnote w:id="9">
    <w:p w14:paraId="25651EC7" w14:textId="75393ED4" w:rsidR="000018C7" w:rsidRPr="00EA5266" w:rsidRDefault="000018C7">
      <w:pPr>
        <w:pStyle w:val="Textonotapie"/>
        <w:rPr>
          <w:lang w:val="es-AR"/>
        </w:rPr>
      </w:pPr>
      <w:r>
        <w:rPr>
          <w:rStyle w:val="Refdenotaalpie"/>
        </w:rPr>
        <w:footnoteRef/>
      </w:r>
      <w:r w:rsidRPr="00EA5266">
        <w:rPr>
          <w:lang w:val="es-AR"/>
        </w:rPr>
        <w:t xml:space="preserve"> </w:t>
      </w:r>
      <w:r>
        <w:rPr>
          <w:lang w:val="es-AR"/>
        </w:rPr>
        <w:t xml:space="preserve">Entre ellas la </w:t>
      </w:r>
      <w:r w:rsidRPr="00EA5266">
        <w:rPr>
          <w:lang w:val="es-AR"/>
        </w:rPr>
        <w:t>Cámara de Servicios Pe</w:t>
      </w:r>
      <w:r>
        <w:rPr>
          <w:lang w:val="es-AR"/>
        </w:rPr>
        <w:t>t</w:t>
      </w:r>
      <w:r w:rsidRPr="00EA5266">
        <w:rPr>
          <w:lang w:val="es-AR"/>
        </w:rPr>
        <w:t>roleros Golfo de San Jorge</w:t>
      </w:r>
      <w:r>
        <w:rPr>
          <w:lang w:val="es-AR"/>
        </w:rPr>
        <w:t>, FECENE, ADIMRA, CAFMEI, CIFRA, CAPIPE y GAPP.</w:t>
      </w:r>
    </w:p>
  </w:footnote>
  <w:footnote w:id="10">
    <w:p w14:paraId="456BBFD3" w14:textId="6310E541" w:rsidR="000018C7" w:rsidRPr="007E6FED" w:rsidRDefault="000018C7" w:rsidP="006C3B57">
      <w:pPr>
        <w:pStyle w:val="Textonotapie"/>
        <w:jc w:val="both"/>
        <w:rPr>
          <w:lang w:val="es-AR"/>
        </w:rPr>
      </w:pPr>
      <w:r>
        <w:rPr>
          <w:rStyle w:val="Refdenotaalpie"/>
        </w:rPr>
        <w:footnoteRef/>
      </w:r>
      <w:r w:rsidRPr="007E6FED">
        <w:rPr>
          <w:lang w:val="es-AR"/>
        </w:rPr>
        <w:t xml:space="preserve"> </w:t>
      </w:r>
      <w:r>
        <w:rPr>
          <w:lang w:val="es-AR"/>
        </w:rPr>
        <w:t>El gráfico a continuación toma el pozo tipo presentado en el anexo I.</w:t>
      </w:r>
    </w:p>
  </w:footnote>
  <w:footnote w:id="11">
    <w:p w14:paraId="21A22EBC" w14:textId="1A37E0A8" w:rsidR="000018C7" w:rsidRPr="005D7C06" w:rsidRDefault="000018C7" w:rsidP="006C3B57">
      <w:pPr>
        <w:pStyle w:val="Textonotapie"/>
        <w:jc w:val="both"/>
        <w:rPr>
          <w:lang w:val="es-AR"/>
        </w:rPr>
      </w:pPr>
      <w:r>
        <w:rPr>
          <w:rStyle w:val="Refdenotaalpie"/>
        </w:rPr>
        <w:footnoteRef/>
      </w:r>
      <w:r w:rsidRPr="005D7C06">
        <w:rPr>
          <w:lang w:val="es-AR"/>
        </w:rPr>
        <w:t xml:space="preserve"> </w:t>
      </w:r>
      <w:r w:rsidRPr="00FE39F6">
        <w:rPr>
          <w:i/>
          <w:lang w:val="es-AR"/>
        </w:rPr>
        <w:t xml:space="preserve">Total </w:t>
      </w:r>
      <w:proofErr w:type="spellStart"/>
      <w:r w:rsidRPr="00FE39F6">
        <w:rPr>
          <w:i/>
          <w:lang w:val="es-AR"/>
        </w:rPr>
        <w:t>Cost</w:t>
      </w:r>
      <w:proofErr w:type="spellEnd"/>
      <w:r w:rsidRPr="00FE39F6">
        <w:rPr>
          <w:i/>
          <w:lang w:val="es-AR"/>
        </w:rPr>
        <w:t xml:space="preserve"> of </w:t>
      </w:r>
      <w:proofErr w:type="spellStart"/>
      <w:r w:rsidRPr="00FE39F6">
        <w:rPr>
          <w:i/>
          <w:lang w:val="es-AR"/>
        </w:rPr>
        <w:t>Ownership</w:t>
      </w:r>
      <w:proofErr w:type="spellEnd"/>
      <w:r w:rsidRPr="005D7C06">
        <w:rPr>
          <w:lang w:val="es-AR"/>
        </w:rPr>
        <w:t xml:space="preserve"> por sus siglas en inglés. Se traduce como el costo total de las operacione</w:t>
      </w:r>
      <w:r>
        <w:rPr>
          <w:lang w:val="es-AR"/>
        </w:rPr>
        <w:t xml:space="preserve">s y se usa para diferenciar de la comparación usual entre precios de licitaciones. El TCO captura el precio del bien o servicio a lo largo de su vida útil, el impacto en las operaciones (eficiencia) y otras externalidades. </w:t>
      </w:r>
    </w:p>
  </w:footnote>
  <w:footnote w:id="12">
    <w:p w14:paraId="65E79D30" w14:textId="45F3CE24" w:rsidR="000018C7" w:rsidRPr="00E12912" w:rsidRDefault="000018C7" w:rsidP="006C3B57">
      <w:pPr>
        <w:pStyle w:val="Textonotapie"/>
        <w:jc w:val="both"/>
        <w:rPr>
          <w:lang w:val="es-AR"/>
        </w:rPr>
      </w:pPr>
      <w:r>
        <w:rPr>
          <w:rStyle w:val="Refdenotaalpie"/>
        </w:rPr>
        <w:footnoteRef/>
      </w:r>
      <w:r w:rsidRPr="00E12912">
        <w:rPr>
          <w:lang w:val="es-AR"/>
        </w:rPr>
        <w:t xml:space="preserve"> </w:t>
      </w:r>
      <w:r>
        <w:rPr>
          <w:lang w:val="es-AR"/>
        </w:rPr>
        <w:t xml:space="preserve">Este proyecto ha sido liderado por YPF y presentado en diversas instancias al sector público y otras operadoras. El impacto de este proyecto también es la posibilidad de generar un incremento de la productividad laboral de las operaciones </w:t>
      </w:r>
      <w:r w:rsidRPr="005D7C06">
        <w:rPr>
          <w:i/>
          <w:lang w:val="es-AR"/>
        </w:rPr>
        <w:t>upstream</w:t>
      </w:r>
      <w:r>
        <w:rPr>
          <w:lang w:val="es-AR"/>
        </w:rPr>
        <w:t xml:space="preserve"> destinando mano de obra excedente a su construcción (2.000 personas).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363A" w14:textId="77777777" w:rsidR="007C6BE3" w:rsidRDefault="007C6B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045B0" w14:textId="42C3BDA6" w:rsidR="00B46A18" w:rsidRDefault="00B46A18">
    <w:pPr>
      <w:pStyle w:val="Encabezado"/>
    </w:pPr>
    <w:r>
      <w:rPr>
        <w:noProof/>
        <w:lang w:val="es-AR" w:eastAsia="es-AR"/>
      </w:rPr>
      <mc:AlternateContent>
        <mc:Choice Requires="wps">
          <w:drawing>
            <wp:anchor distT="0" distB="0" distL="114300" distR="114300" simplePos="0" relativeHeight="251659264" behindDoc="0" locked="0" layoutInCell="0" allowOverlap="1" wp14:anchorId="6A4F7400" wp14:editId="384976F6">
              <wp:simplePos x="0" y="0"/>
              <wp:positionH relativeFrom="page">
                <wp:posOffset>0</wp:posOffset>
              </wp:positionH>
              <wp:positionV relativeFrom="page">
                <wp:posOffset>190500</wp:posOffset>
              </wp:positionV>
              <wp:extent cx="7772400" cy="266700"/>
              <wp:effectExtent l="0" t="0" r="0" b="0"/>
              <wp:wrapNone/>
              <wp:docPr id="4" name="MSIPCMc8f94307896db28afdef071b" descr="{&quot;HashCode&quot;:-139213659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9C754" w14:textId="1A298691" w:rsidR="00B46A18" w:rsidRPr="00B46A18" w:rsidRDefault="007C6BE3" w:rsidP="00B46A18">
                          <w:pPr>
                            <w:spacing w:after="0"/>
                            <w:jc w:val="right"/>
                            <w:rPr>
                              <w:rFonts w:ascii="Calibri" w:hAnsi="Calibri" w:cs="Calibri"/>
                              <w:color w:val="000000"/>
                              <w:sz w:val="20"/>
                            </w:rPr>
                          </w:pPr>
                          <w:r>
                            <w:rPr>
                              <w:rFonts w:ascii="Calibri" w:hAnsi="Calibri" w:cs="Calibri"/>
                              <w:color w:val="000000"/>
                              <w:sz w:val="20"/>
                            </w:rPr>
                            <w:t>YPF S.A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F7400" id="_x0000_t202" coordsize="21600,21600" o:spt="202" path="m,l,21600r21600,l21600,xe">
              <v:stroke joinstyle="miter"/>
              <v:path gradientshapeok="t" o:connecttype="rect"/>
            </v:shapetype>
            <v:shape id="MSIPCMc8f94307896db28afdef071b" o:spid="_x0000_s1026" type="#_x0000_t202" alt="{&quot;HashCode&quot;:-1392136592,&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" o:allowincell="f" filled="f" stroked="f" strokeweight=".5pt">
              <v:textbox inset=",0,20pt,0">
                <w:txbxContent>
                  <w:p w14:paraId="07D9C754" w14:textId="1A298691" w:rsidR="00B46A18" w:rsidRPr="00B46A18" w:rsidRDefault="007C6BE3" w:rsidP="00B46A18">
                    <w:pPr>
                      <w:spacing w:after="0"/>
                      <w:jc w:val="right"/>
                      <w:rPr>
                        <w:rFonts w:ascii="Calibri" w:hAnsi="Calibri" w:cs="Calibri"/>
                        <w:color w:val="000000"/>
                        <w:sz w:val="20"/>
                      </w:rPr>
                    </w:pPr>
                    <w:r>
                      <w:rPr>
                        <w:rFonts w:ascii="Calibri" w:hAnsi="Calibri" w:cs="Calibri"/>
                        <w:color w:val="000000"/>
                        <w:sz w:val="20"/>
                      </w:rPr>
                      <w:t>YPF 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E065" w14:textId="77777777" w:rsidR="007C6BE3" w:rsidRDefault="007C6B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DF"/>
    <w:multiLevelType w:val="hybridMultilevel"/>
    <w:tmpl w:val="2DFE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93FFF"/>
    <w:multiLevelType w:val="hybridMultilevel"/>
    <w:tmpl w:val="A3C0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305091"/>
    <w:multiLevelType w:val="hybridMultilevel"/>
    <w:tmpl w:val="189A36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9DC77AB"/>
    <w:multiLevelType w:val="hybridMultilevel"/>
    <w:tmpl w:val="52588D74"/>
    <w:lvl w:ilvl="0" w:tplc="0474506C">
      <w:start w:val="1"/>
      <w:numFmt w:val="decimal"/>
      <w:lvlText w:val="%1."/>
      <w:lvlJc w:val="left"/>
      <w:pPr>
        <w:ind w:left="720" w:hanging="360"/>
      </w:pPr>
    </w:lvl>
    <w:lvl w:ilvl="1" w:tplc="C6400A7C">
      <w:start w:val="1"/>
      <w:numFmt w:val="lowerLetter"/>
      <w:lvlText w:val="%2."/>
      <w:lvlJc w:val="left"/>
      <w:pPr>
        <w:ind w:left="1440" w:hanging="360"/>
      </w:pPr>
    </w:lvl>
    <w:lvl w:ilvl="2" w:tplc="8CEA5640">
      <w:start w:val="1"/>
      <w:numFmt w:val="lowerRoman"/>
      <w:lvlText w:val="%3."/>
      <w:lvlJc w:val="right"/>
      <w:pPr>
        <w:ind w:left="2160" w:hanging="180"/>
      </w:pPr>
    </w:lvl>
    <w:lvl w:ilvl="3" w:tplc="5D16740C">
      <w:start w:val="1"/>
      <w:numFmt w:val="decimal"/>
      <w:lvlText w:val="%4."/>
      <w:lvlJc w:val="left"/>
      <w:pPr>
        <w:ind w:left="2880" w:hanging="360"/>
      </w:pPr>
    </w:lvl>
    <w:lvl w:ilvl="4" w:tplc="52D89DA0">
      <w:start w:val="1"/>
      <w:numFmt w:val="lowerLetter"/>
      <w:lvlText w:val="%5."/>
      <w:lvlJc w:val="left"/>
      <w:pPr>
        <w:ind w:left="3600" w:hanging="360"/>
      </w:pPr>
    </w:lvl>
    <w:lvl w:ilvl="5" w:tplc="77BE4FA4">
      <w:start w:val="1"/>
      <w:numFmt w:val="lowerRoman"/>
      <w:lvlText w:val="%6."/>
      <w:lvlJc w:val="right"/>
      <w:pPr>
        <w:ind w:left="4320" w:hanging="180"/>
      </w:pPr>
    </w:lvl>
    <w:lvl w:ilvl="6" w:tplc="AFAAA358">
      <w:start w:val="1"/>
      <w:numFmt w:val="decimal"/>
      <w:lvlText w:val="%7."/>
      <w:lvlJc w:val="left"/>
      <w:pPr>
        <w:ind w:left="5040" w:hanging="360"/>
      </w:pPr>
    </w:lvl>
    <w:lvl w:ilvl="7" w:tplc="F1366506">
      <w:start w:val="1"/>
      <w:numFmt w:val="lowerLetter"/>
      <w:lvlText w:val="%8."/>
      <w:lvlJc w:val="left"/>
      <w:pPr>
        <w:ind w:left="5760" w:hanging="360"/>
      </w:pPr>
    </w:lvl>
    <w:lvl w:ilvl="8" w:tplc="09463938">
      <w:start w:val="1"/>
      <w:numFmt w:val="lowerRoman"/>
      <w:lvlText w:val="%9."/>
      <w:lvlJc w:val="right"/>
      <w:pPr>
        <w:ind w:left="6480" w:hanging="180"/>
      </w:pPr>
    </w:lvl>
  </w:abstractNum>
  <w:abstractNum w:abstractNumId="4">
    <w:nsid w:val="17781968"/>
    <w:multiLevelType w:val="hybridMultilevel"/>
    <w:tmpl w:val="CE1A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13FB4"/>
    <w:multiLevelType w:val="hybridMultilevel"/>
    <w:tmpl w:val="29400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95532F"/>
    <w:multiLevelType w:val="hybridMultilevel"/>
    <w:tmpl w:val="17E29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6236FD"/>
    <w:multiLevelType w:val="hybridMultilevel"/>
    <w:tmpl w:val="89D2B4D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1A566DA"/>
    <w:multiLevelType w:val="hybridMultilevel"/>
    <w:tmpl w:val="10F4C2B0"/>
    <w:lvl w:ilvl="0" w:tplc="8A14A586">
      <w:start w:val="1"/>
      <w:numFmt w:val="bullet"/>
      <w:lvlText w:val=""/>
      <w:lvlJc w:val="left"/>
      <w:pPr>
        <w:ind w:left="1080" w:hanging="360"/>
      </w:pPr>
      <w:rPr>
        <w:rFonts w:ascii="Symbol" w:hAnsi="Symbol" w:hint="default"/>
      </w:rPr>
    </w:lvl>
    <w:lvl w:ilvl="1" w:tplc="8EC49F70">
      <w:start w:val="1"/>
      <w:numFmt w:val="bullet"/>
      <w:lvlText w:val="o"/>
      <w:lvlJc w:val="left"/>
      <w:pPr>
        <w:ind w:left="1800" w:hanging="360"/>
      </w:pPr>
      <w:rPr>
        <w:rFonts w:ascii="Courier New" w:hAnsi="Courier New" w:hint="default"/>
      </w:rPr>
    </w:lvl>
    <w:lvl w:ilvl="2" w:tplc="20001ED6">
      <w:start w:val="1"/>
      <w:numFmt w:val="bullet"/>
      <w:lvlText w:val=""/>
      <w:lvlJc w:val="left"/>
      <w:pPr>
        <w:ind w:left="2520" w:hanging="360"/>
      </w:pPr>
      <w:rPr>
        <w:rFonts w:ascii="Wingdings" w:hAnsi="Wingdings" w:hint="default"/>
      </w:rPr>
    </w:lvl>
    <w:lvl w:ilvl="3" w:tplc="637A9CEC">
      <w:start w:val="1"/>
      <w:numFmt w:val="bullet"/>
      <w:lvlText w:val=""/>
      <w:lvlJc w:val="left"/>
      <w:pPr>
        <w:ind w:left="3240" w:hanging="360"/>
      </w:pPr>
      <w:rPr>
        <w:rFonts w:ascii="Symbol" w:hAnsi="Symbol" w:hint="default"/>
      </w:rPr>
    </w:lvl>
    <w:lvl w:ilvl="4" w:tplc="8DCEA270">
      <w:start w:val="1"/>
      <w:numFmt w:val="bullet"/>
      <w:lvlText w:val="o"/>
      <w:lvlJc w:val="left"/>
      <w:pPr>
        <w:ind w:left="3960" w:hanging="360"/>
      </w:pPr>
      <w:rPr>
        <w:rFonts w:ascii="Courier New" w:hAnsi="Courier New" w:hint="default"/>
      </w:rPr>
    </w:lvl>
    <w:lvl w:ilvl="5" w:tplc="3AE25948">
      <w:start w:val="1"/>
      <w:numFmt w:val="bullet"/>
      <w:lvlText w:val=""/>
      <w:lvlJc w:val="left"/>
      <w:pPr>
        <w:ind w:left="4680" w:hanging="360"/>
      </w:pPr>
      <w:rPr>
        <w:rFonts w:ascii="Wingdings" w:hAnsi="Wingdings" w:hint="default"/>
      </w:rPr>
    </w:lvl>
    <w:lvl w:ilvl="6" w:tplc="848EDA82">
      <w:start w:val="1"/>
      <w:numFmt w:val="bullet"/>
      <w:lvlText w:val=""/>
      <w:lvlJc w:val="left"/>
      <w:pPr>
        <w:ind w:left="5400" w:hanging="360"/>
      </w:pPr>
      <w:rPr>
        <w:rFonts w:ascii="Symbol" w:hAnsi="Symbol" w:hint="default"/>
      </w:rPr>
    </w:lvl>
    <w:lvl w:ilvl="7" w:tplc="5C780400">
      <w:start w:val="1"/>
      <w:numFmt w:val="bullet"/>
      <w:lvlText w:val="o"/>
      <w:lvlJc w:val="left"/>
      <w:pPr>
        <w:ind w:left="6120" w:hanging="360"/>
      </w:pPr>
      <w:rPr>
        <w:rFonts w:ascii="Courier New" w:hAnsi="Courier New" w:hint="default"/>
      </w:rPr>
    </w:lvl>
    <w:lvl w:ilvl="8" w:tplc="BF7445F2">
      <w:start w:val="1"/>
      <w:numFmt w:val="bullet"/>
      <w:lvlText w:val=""/>
      <w:lvlJc w:val="left"/>
      <w:pPr>
        <w:ind w:left="6840" w:hanging="360"/>
      </w:pPr>
      <w:rPr>
        <w:rFonts w:ascii="Wingdings" w:hAnsi="Wingdings" w:hint="default"/>
      </w:rPr>
    </w:lvl>
  </w:abstractNum>
  <w:abstractNum w:abstractNumId="9">
    <w:nsid w:val="26F243E3"/>
    <w:multiLevelType w:val="hybridMultilevel"/>
    <w:tmpl w:val="2D740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30565"/>
    <w:multiLevelType w:val="hybridMultilevel"/>
    <w:tmpl w:val="4094DD42"/>
    <w:lvl w:ilvl="0" w:tplc="A82E845E">
      <w:start w:val="1"/>
      <w:numFmt w:val="lowerLetter"/>
      <w:lvlText w:val="%1."/>
      <w:lvlJc w:val="left"/>
      <w:pPr>
        <w:tabs>
          <w:tab w:val="num" w:pos="720"/>
        </w:tabs>
        <w:ind w:left="720" w:hanging="360"/>
      </w:pPr>
    </w:lvl>
    <w:lvl w:ilvl="1" w:tplc="B28C50F4">
      <w:start w:val="1"/>
      <w:numFmt w:val="lowerLetter"/>
      <w:lvlText w:val="%2."/>
      <w:lvlJc w:val="left"/>
      <w:pPr>
        <w:tabs>
          <w:tab w:val="num" w:pos="1440"/>
        </w:tabs>
        <w:ind w:left="1440" w:hanging="360"/>
      </w:pPr>
    </w:lvl>
    <w:lvl w:ilvl="2" w:tplc="385447EE" w:tentative="1">
      <w:start w:val="1"/>
      <w:numFmt w:val="lowerLetter"/>
      <w:lvlText w:val="%3."/>
      <w:lvlJc w:val="left"/>
      <w:pPr>
        <w:tabs>
          <w:tab w:val="num" w:pos="2160"/>
        </w:tabs>
        <w:ind w:left="2160" w:hanging="360"/>
      </w:pPr>
    </w:lvl>
    <w:lvl w:ilvl="3" w:tplc="E7DA2CC8" w:tentative="1">
      <w:start w:val="1"/>
      <w:numFmt w:val="lowerLetter"/>
      <w:lvlText w:val="%4."/>
      <w:lvlJc w:val="left"/>
      <w:pPr>
        <w:tabs>
          <w:tab w:val="num" w:pos="2880"/>
        </w:tabs>
        <w:ind w:left="2880" w:hanging="360"/>
      </w:pPr>
    </w:lvl>
    <w:lvl w:ilvl="4" w:tplc="7C30BF6A" w:tentative="1">
      <w:start w:val="1"/>
      <w:numFmt w:val="lowerLetter"/>
      <w:lvlText w:val="%5."/>
      <w:lvlJc w:val="left"/>
      <w:pPr>
        <w:tabs>
          <w:tab w:val="num" w:pos="3600"/>
        </w:tabs>
        <w:ind w:left="3600" w:hanging="360"/>
      </w:pPr>
    </w:lvl>
    <w:lvl w:ilvl="5" w:tplc="F6DE4034" w:tentative="1">
      <w:start w:val="1"/>
      <w:numFmt w:val="lowerLetter"/>
      <w:lvlText w:val="%6."/>
      <w:lvlJc w:val="left"/>
      <w:pPr>
        <w:tabs>
          <w:tab w:val="num" w:pos="4320"/>
        </w:tabs>
        <w:ind w:left="4320" w:hanging="360"/>
      </w:pPr>
    </w:lvl>
    <w:lvl w:ilvl="6" w:tplc="7B1A0804" w:tentative="1">
      <w:start w:val="1"/>
      <w:numFmt w:val="lowerLetter"/>
      <w:lvlText w:val="%7."/>
      <w:lvlJc w:val="left"/>
      <w:pPr>
        <w:tabs>
          <w:tab w:val="num" w:pos="5040"/>
        </w:tabs>
        <w:ind w:left="5040" w:hanging="360"/>
      </w:pPr>
    </w:lvl>
    <w:lvl w:ilvl="7" w:tplc="CCCA1474" w:tentative="1">
      <w:start w:val="1"/>
      <w:numFmt w:val="lowerLetter"/>
      <w:lvlText w:val="%8."/>
      <w:lvlJc w:val="left"/>
      <w:pPr>
        <w:tabs>
          <w:tab w:val="num" w:pos="5760"/>
        </w:tabs>
        <w:ind w:left="5760" w:hanging="360"/>
      </w:pPr>
    </w:lvl>
    <w:lvl w:ilvl="8" w:tplc="F2F8B9D8" w:tentative="1">
      <w:start w:val="1"/>
      <w:numFmt w:val="lowerLetter"/>
      <w:lvlText w:val="%9."/>
      <w:lvlJc w:val="left"/>
      <w:pPr>
        <w:tabs>
          <w:tab w:val="num" w:pos="6480"/>
        </w:tabs>
        <w:ind w:left="6480" w:hanging="360"/>
      </w:pPr>
    </w:lvl>
  </w:abstractNum>
  <w:abstractNum w:abstractNumId="11">
    <w:nsid w:val="2B8723CA"/>
    <w:multiLevelType w:val="hybridMultilevel"/>
    <w:tmpl w:val="849A9534"/>
    <w:lvl w:ilvl="0" w:tplc="7E669808">
      <w:start w:val="1"/>
      <w:numFmt w:val="decimal"/>
      <w:lvlText w:val="%1."/>
      <w:lvlJc w:val="left"/>
      <w:pPr>
        <w:ind w:left="720" w:hanging="360"/>
      </w:pPr>
    </w:lvl>
    <w:lvl w:ilvl="1" w:tplc="F19E056A">
      <w:start w:val="1"/>
      <w:numFmt w:val="lowerLetter"/>
      <w:lvlText w:val="%2."/>
      <w:lvlJc w:val="left"/>
      <w:pPr>
        <w:ind w:left="1440" w:hanging="360"/>
      </w:pPr>
    </w:lvl>
    <w:lvl w:ilvl="2" w:tplc="1534D698">
      <w:start w:val="1"/>
      <w:numFmt w:val="lowerRoman"/>
      <w:lvlText w:val="%3."/>
      <w:lvlJc w:val="right"/>
      <w:pPr>
        <w:ind w:left="2160" w:hanging="180"/>
      </w:pPr>
    </w:lvl>
    <w:lvl w:ilvl="3" w:tplc="11AC76F6">
      <w:start w:val="1"/>
      <w:numFmt w:val="decimal"/>
      <w:lvlText w:val="%4."/>
      <w:lvlJc w:val="left"/>
      <w:pPr>
        <w:ind w:left="2880" w:hanging="360"/>
      </w:pPr>
    </w:lvl>
    <w:lvl w:ilvl="4" w:tplc="4E7428D0">
      <w:start w:val="1"/>
      <w:numFmt w:val="lowerLetter"/>
      <w:lvlText w:val="%5."/>
      <w:lvlJc w:val="left"/>
      <w:pPr>
        <w:ind w:left="3600" w:hanging="360"/>
      </w:pPr>
    </w:lvl>
    <w:lvl w:ilvl="5" w:tplc="1988F926">
      <w:start w:val="1"/>
      <w:numFmt w:val="lowerRoman"/>
      <w:lvlText w:val="%6."/>
      <w:lvlJc w:val="right"/>
      <w:pPr>
        <w:ind w:left="4320" w:hanging="180"/>
      </w:pPr>
    </w:lvl>
    <w:lvl w:ilvl="6" w:tplc="D6EA46A2">
      <w:start w:val="1"/>
      <w:numFmt w:val="decimal"/>
      <w:lvlText w:val="%7."/>
      <w:lvlJc w:val="left"/>
      <w:pPr>
        <w:ind w:left="5040" w:hanging="360"/>
      </w:pPr>
    </w:lvl>
    <w:lvl w:ilvl="7" w:tplc="2FA8A79A">
      <w:start w:val="1"/>
      <w:numFmt w:val="lowerLetter"/>
      <w:lvlText w:val="%8."/>
      <w:lvlJc w:val="left"/>
      <w:pPr>
        <w:ind w:left="5760" w:hanging="360"/>
      </w:pPr>
    </w:lvl>
    <w:lvl w:ilvl="8" w:tplc="493839AE">
      <w:start w:val="1"/>
      <w:numFmt w:val="lowerRoman"/>
      <w:lvlText w:val="%9."/>
      <w:lvlJc w:val="right"/>
      <w:pPr>
        <w:ind w:left="6480" w:hanging="180"/>
      </w:pPr>
    </w:lvl>
  </w:abstractNum>
  <w:abstractNum w:abstractNumId="12">
    <w:nsid w:val="2DC35805"/>
    <w:multiLevelType w:val="hybridMultilevel"/>
    <w:tmpl w:val="23F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A326C"/>
    <w:multiLevelType w:val="hybridMultilevel"/>
    <w:tmpl w:val="3C2A8984"/>
    <w:lvl w:ilvl="0" w:tplc="F1D2B022">
      <w:start w:val="1"/>
      <w:numFmt w:val="decimal"/>
      <w:lvlText w:val="%1."/>
      <w:lvlJc w:val="left"/>
      <w:pPr>
        <w:ind w:left="720" w:hanging="360"/>
      </w:pPr>
    </w:lvl>
    <w:lvl w:ilvl="1" w:tplc="AC0CEF90">
      <w:start w:val="1"/>
      <w:numFmt w:val="lowerLetter"/>
      <w:lvlText w:val="%2."/>
      <w:lvlJc w:val="left"/>
      <w:pPr>
        <w:ind w:left="1440" w:hanging="360"/>
      </w:pPr>
    </w:lvl>
    <w:lvl w:ilvl="2" w:tplc="27FA1BF0">
      <w:start w:val="1"/>
      <w:numFmt w:val="lowerRoman"/>
      <w:lvlText w:val="%3."/>
      <w:lvlJc w:val="right"/>
      <w:pPr>
        <w:ind w:left="2160" w:hanging="180"/>
      </w:pPr>
    </w:lvl>
    <w:lvl w:ilvl="3" w:tplc="28CC6AC8">
      <w:start w:val="1"/>
      <w:numFmt w:val="decimal"/>
      <w:lvlText w:val="%4."/>
      <w:lvlJc w:val="left"/>
      <w:pPr>
        <w:ind w:left="2880" w:hanging="360"/>
      </w:pPr>
    </w:lvl>
    <w:lvl w:ilvl="4" w:tplc="F564C9B2">
      <w:start w:val="1"/>
      <w:numFmt w:val="lowerLetter"/>
      <w:lvlText w:val="%5."/>
      <w:lvlJc w:val="left"/>
      <w:pPr>
        <w:ind w:left="3600" w:hanging="360"/>
      </w:pPr>
    </w:lvl>
    <w:lvl w:ilvl="5" w:tplc="339C5FFC">
      <w:start w:val="1"/>
      <w:numFmt w:val="lowerRoman"/>
      <w:lvlText w:val="%6."/>
      <w:lvlJc w:val="right"/>
      <w:pPr>
        <w:ind w:left="4320" w:hanging="180"/>
      </w:pPr>
    </w:lvl>
    <w:lvl w:ilvl="6" w:tplc="9C2A77A8">
      <w:start w:val="1"/>
      <w:numFmt w:val="decimal"/>
      <w:lvlText w:val="%7."/>
      <w:lvlJc w:val="left"/>
      <w:pPr>
        <w:ind w:left="5040" w:hanging="360"/>
      </w:pPr>
    </w:lvl>
    <w:lvl w:ilvl="7" w:tplc="000C4158">
      <w:start w:val="1"/>
      <w:numFmt w:val="lowerLetter"/>
      <w:lvlText w:val="%8."/>
      <w:lvlJc w:val="left"/>
      <w:pPr>
        <w:ind w:left="5760" w:hanging="360"/>
      </w:pPr>
    </w:lvl>
    <w:lvl w:ilvl="8" w:tplc="538A3C70">
      <w:start w:val="1"/>
      <w:numFmt w:val="lowerRoman"/>
      <w:lvlText w:val="%9."/>
      <w:lvlJc w:val="right"/>
      <w:pPr>
        <w:ind w:left="6480" w:hanging="180"/>
      </w:pPr>
    </w:lvl>
  </w:abstractNum>
  <w:abstractNum w:abstractNumId="14">
    <w:nsid w:val="33434DE7"/>
    <w:multiLevelType w:val="hybridMultilevel"/>
    <w:tmpl w:val="B2668BA8"/>
    <w:lvl w:ilvl="0" w:tplc="C68A11FA">
      <w:start w:val="1"/>
      <w:numFmt w:val="bullet"/>
      <w:lvlText w:val="▪"/>
      <w:lvlJc w:val="left"/>
      <w:pPr>
        <w:ind w:left="720" w:hanging="360"/>
      </w:pPr>
      <w:rPr>
        <w:rFonts w:ascii="Courier New" w:hAnsi="Courier New" w:hint="default"/>
      </w:rPr>
    </w:lvl>
    <w:lvl w:ilvl="1" w:tplc="C68A11FA">
      <w:start w:val="1"/>
      <w:numFmt w:val="bullet"/>
      <w:lvlText w:val="▪"/>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4D74EBF"/>
    <w:multiLevelType w:val="hybridMultilevel"/>
    <w:tmpl w:val="84B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42208"/>
    <w:multiLevelType w:val="hybridMultilevel"/>
    <w:tmpl w:val="9318A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5B93142"/>
    <w:multiLevelType w:val="hybridMultilevel"/>
    <w:tmpl w:val="38F4637A"/>
    <w:lvl w:ilvl="0" w:tplc="19FC2380">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7A7362A"/>
    <w:multiLevelType w:val="hybridMultilevel"/>
    <w:tmpl w:val="FFB8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5997"/>
    <w:multiLevelType w:val="hybridMultilevel"/>
    <w:tmpl w:val="9FE243C6"/>
    <w:lvl w:ilvl="0" w:tplc="752ED3A4">
      <w:start w:val="1"/>
      <w:numFmt w:val="bullet"/>
      <w:lvlText w:val="-"/>
      <w:lvlJc w:val="left"/>
      <w:pPr>
        <w:ind w:left="720" w:hanging="360"/>
      </w:pPr>
      <w:rPr>
        <w:rFonts w:ascii="Calibri" w:hAnsi="Calibri" w:hint="default"/>
      </w:rPr>
    </w:lvl>
    <w:lvl w:ilvl="1" w:tplc="F0B60412">
      <w:start w:val="1"/>
      <w:numFmt w:val="bullet"/>
      <w:lvlText w:val="o"/>
      <w:lvlJc w:val="left"/>
      <w:pPr>
        <w:ind w:left="1440" w:hanging="360"/>
      </w:pPr>
      <w:rPr>
        <w:rFonts w:ascii="Courier New" w:hAnsi="Courier New" w:hint="default"/>
      </w:rPr>
    </w:lvl>
    <w:lvl w:ilvl="2" w:tplc="84F06F1E">
      <w:start w:val="1"/>
      <w:numFmt w:val="bullet"/>
      <w:lvlText w:val=""/>
      <w:lvlJc w:val="left"/>
      <w:pPr>
        <w:ind w:left="2160" w:hanging="360"/>
      </w:pPr>
      <w:rPr>
        <w:rFonts w:ascii="Wingdings" w:hAnsi="Wingdings" w:hint="default"/>
      </w:rPr>
    </w:lvl>
    <w:lvl w:ilvl="3" w:tplc="6262C6FA">
      <w:start w:val="1"/>
      <w:numFmt w:val="bullet"/>
      <w:lvlText w:val=""/>
      <w:lvlJc w:val="left"/>
      <w:pPr>
        <w:ind w:left="2880" w:hanging="360"/>
      </w:pPr>
      <w:rPr>
        <w:rFonts w:ascii="Symbol" w:hAnsi="Symbol" w:hint="default"/>
      </w:rPr>
    </w:lvl>
    <w:lvl w:ilvl="4" w:tplc="02141890">
      <w:start w:val="1"/>
      <w:numFmt w:val="bullet"/>
      <w:lvlText w:val="o"/>
      <w:lvlJc w:val="left"/>
      <w:pPr>
        <w:ind w:left="3600" w:hanging="360"/>
      </w:pPr>
      <w:rPr>
        <w:rFonts w:ascii="Courier New" w:hAnsi="Courier New" w:hint="default"/>
      </w:rPr>
    </w:lvl>
    <w:lvl w:ilvl="5" w:tplc="BD6690B0">
      <w:start w:val="1"/>
      <w:numFmt w:val="bullet"/>
      <w:lvlText w:val=""/>
      <w:lvlJc w:val="left"/>
      <w:pPr>
        <w:ind w:left="4320" w:hanging="360"/>
      </w:pPr>
      <w:rPr>
        <w:rFonts w:ascii="Wingdings" w:hAnsi="Wingdings" w:hint="default"/>
      </w:rPr>
    </w:lvl>
    <w:lvl w:ilvl="6" w:tplc="2C5C23E6">
      <w:start w:val="1"/>
      <w:numFmt w:val="bullet"/>
      <w:lvlText w:val=""/>
      <w:lvlJc w:val="left"/>
      <w:pPr>
        <w:ind w:left="5040" w:hanging="360"/>
      </w:pPr>
      <w:rPr>
        <w:rFonts w:ascii="Symbol" w:hAnsi="Symbol" w:hint="default"/>
      </w:rPr>
    </w:lvl>
    <w:lvl w:ilvl="7" w:tplc="6FD6CE0C">
      <w:start w:val="1"/>
      <w:numFmt w:val="bullet"/>
      <w:lvlText w:val="o"/>
      <w:lvlJc w:val="left"/>
      <w:pPr>
        <w:ind w:left="5760" w:hanging="360"/>
      </w:pPr>
      <w:rPr>
        <w:rFonts w:ascii="Courier New" w:hAnsi="Courier New" w:hint="default"/>
      </w:rPr>
    </w:lvl>
    <w:lvl w:ilvl="8" w:tplc="46ACB440">
      <w:start w:val="1"/>
      <w:numFmt w:val="bullet"/>
      <w:lvlText w:val=""/>
      <w:lvlJc w:val="left"/>
      <w:pPr>
        <w:ind w:left="6480" w:hanging="360"/>
      </w:pPr>
      <w:rPr>
        <w:rFonts w:ascii="Wingdings" w:hAnsi="Wingdings" w:hint="default"/>
      </w:rPr>
    </w:lvl>
  </w:abstractNum>
  <w:abstractNum w:abstractNumId="20">
    <w:nsid w:val="3DAE08AC"/>
    <w:multiLevelType w:val="hybridMultilevel"/>
    <w:tmpl w:val="B29CA3A0"/>
    <w:lvl w:ilvl="0" w:tplc="9AB45620">
      <w:start w:val="1"/>
      <w:numFmt w:val="decimal"/>
      <w:lvlText w:val="%1."/>
      <w:lvlJc w:val="left"/>
      <w:pPr>
        <w:ind w:left="720" w:hanging="360"/>
      </w:pPr>
    </w:lvl>
    <w:lvl w:ilvl="1" w:tplc="77022488">
      <w:start w:val="1"/>
      <w:numFmt w:val="lowerLetter"/>
      <w:lvlText w:val="%2."/>
      <w:lvlJc w:val="left"/>
      <w:pPr>
        <w:ind w:left="1440" w:hanging="360"/>
      </w:pPr>
    </w:lvl>
    <w:lvl w:ilvl="2" w:tplc="E7B22030">
      <w:start w:val="1"/>
      <w:numFmt w:val="lowerRoman"/>
      <w:lvlText w:val="%3."/>
      <w:lvlJc w:val="right"/>
      <w:pPr>
        <w:ind w:left="2160" w:hanging="180"/>
      </w:pPr>
    </w:lvl>
    <w:lvl w:ilvl="3" w:tplc="594C3D38">
      <w:start w:val="1"/>
      <w:numFmt w:val="decimal"/>
      <w:lvlText w:val="%4."/>
      <w:lvlJc w:val="left"/>
      <w:pPr>
        <w:ind w:left="2880" w:hanging="360"/>
      </w:pPr>
    </w:lvl>
    <w:lvl w:ilvl="4" w:tplc="DAE63A6E">
      <w:start w:val="1"/>
      <w:numFmt w:val="lowerLetter"/>
      <w:lvlText w:val="%5."/>
      <w:lvlJc w:val="left"/>
      <w:pPr>
        <w:ind w:left="3600" w:hanging="360"/>
      </w:pPr>
    </w:lvl>
    <w:lvl w:ilvl="5" w:tplc="07CC5CC4">
      <w:start w:val="1"/>
      <w:numFmt w:val="lowerRoman"/>
      <w:lvlText w:val="%6."/>
      <w:lvlJc w:val="right"/>
      <w:pPr>
        <w:ind w:left="4320" w:hanging="180"/>
      </w:pPr>
    </w:lvl>
    <w:lvl w:ilvl="6" w:tplc="2914634E">
      <w:start w:val="1"/>
      <w:numFmt w:val="decimal"/>
      <w:lvlText w:val="%7."/>
      <w:lvlJc w:val="left"/>
      <w:pPr>
        <w:ind w:left="5040" w:hanging="360"/>
      </w:pPr>
    </w:lvl>
    <w:lvl w:ilvl="7" w:tplc="37F4ECA6">
      <w:start w:val="1"/>
      <w:numFmt w:val="lowerLetter"/>
      <w:lvlText w:val="%8."/>
      <w:lvlJc w:val="left"/>
      <w:pPr>
        <w:ind w:left="5760" w:hanging="360"/>
      </w:pPr>
    </w:lvl>
    <w:lvl w:ilvl="8" w:tplc="3384C918">
      <w:start w:val="1"/>
      <w:numFmt w:val="lowerRoman"/>
      <w:lvlText w:val="%9."/>
      <w:lvlJc w:val="right"/>
      <w:pPr>
        <w:ind w:left="6480" w:hanging="180"/>
      </w:pPr>
    </w:lvl>
  </w:abstractNum>
  <w:abstractNum w:abstractNumId="21">
    <w:nsid w:val="41B56F1E"/>
    <w:multiLevelType w:val="hybridMultilevel"/>
    <w:tmpl w:val="57E45530"/>
    <w:lvl w:ilvl="0" w:tplc="2C0A000B">
      <w:start w:val="1"/>
      <w:numFmt w:val="bullet"/>
      <w:lvlText w:val=""/>
      <w:lvlJc w:val="left"/>
      <w:pPr>
        <w:ind w:left="720" w:hanging="360"/>
      </w:pPr>
      <w:rPr>
        <w:rFonts w:ascii="Wingdings" w:hAnsi="Wingdings" w:hint="default"/>
      </w:rPr>
    </w:lvl>
    <w:lvl w:ilvl="1" w:tplc="C68A11FA">
      <w:start w:val="1"/>
      <w:numFmt w:val="bullet"/>
      <w:lvlText w:val="▪"/>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1D1237C"/>
    <w:multiLevelType w:val="hybridMultilevel"/>
    <w:tmpl w:val="108AD0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2632437"/>
    <w:multiLevelType w:val="hybridMultilevel"/>
    <w:tmpl w:val="2202E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6D33F4"/>
    <w:multiLevelType w:val="hybridMultilevel"/>
    <w:tmpl w:val="B73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17D9B"/>
    <w:multiLevelType w:val="hybridMultilevel"/>
    <w:tmpl w:val="0002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F4952"/>
    <w:multiLevelType w:val="hybridMultilevel"/>
    <w:tmpl w:val="3C98FC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C2D3284"/>
    <w:multiLevelType w:val="hybridMultilevel"/>
    <w:tmpl w:val="72D0F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41520C"/>
    <w:multiLevelType w:val="hybridMultilevel"/>
    <w:tmpl w:val="C9DC9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03E183F"/>
    <w:multiLevelType w:val="hybridMultilevel"/>
    <w:tmpl w:val="7F08B2B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1F86A90"/>
    <w:multiLevelType w:val="hybridMultilevel"/>
    <w:tmpl w:val="CDCA4D04"/>
    <w:lvl w:ilvl="0" w:tplc="FEBE74D8">
      <w:start w:val="1"/>
      <w:numFmt w:val="lowerLetter"/>
      <w:lvlText w:val="%1."/>
      <w:lvlJc w:val="left"/>
      <w:pPr>
        <w:ind w:left="720" w:hanging="360"/>
      </w:pPr>
    </w:lvl>
    <w:lvl w:ilvl="1" w:tplc="0DD270E6">
      <w:start w:val="1"/>
      <w:numFmt w:val="lowerLetter"/>
      <w:lvlText w:val="%2."/>
      <w:lvlJc w:val="left"/>
      <w:pPr>
        <w:ind w:left="1440" w:hanging="360"/>
      </w:pPr>
    </w:lvl>
    <w:lvl w:ilvl="2" w:tplc="9DF2BCF4">
      <w:start w:val="1"/>
      <w:numFmt w:val="lowerRoman"/>
      <w:lvlText w:val="%3."/>
      <w:lvlJc w:val="right"/>
      <w:pPr>
        <w:ind w:left="2160" w:hanging="180"/>
      </w:pPr>
    </w:lvl>
    <w:lvl w:ilvl="3" w:tplc="79D8E4A4">
      <w:start w:val="1"/>
      <w:numFmt w:val="decimal"/>
      <w:lvlText w:val="%4."/>
      <w:lvlJc w:val="left"/>
      <w:pPr>
        <w:ind w:left="2880" w:hanging="360"/>
      </w:pPr>
    </w:lvl>
    <w:lvl w:ilvl="4" w:tplc="18BAF748">
      <w:start w:val="1"/>
      <w:numFmt w:val="lowerLetter"/>
      <w:lvlText w:val="%5."/>
      <w:lvlJc w:val="left"/>
      <w:pPr>
        <w:ind w:left="3600" w:hanging="360"/>
      </w:pPr>
    </w:lvl>
    <w:lvl w:ilvl="5" w:tplc="080AC2E6">
      <w:start w:val="1"/>
      <w:numFmt w:val="lowerRoman"/>
      <w:lvlText w:val="%6."/>
      <w:lvlJc w:val="right"/>
      <w:pPr>
        <w:ind w:left="4320" w:hanging="180"/>
      </w:pPr>
    </w:lvl>
    <w:lvl w:ilvl="6" w:tplc="A014BC7A">
      <w:start w:val="1"/>
      <w:numFmt w:val="decimal"/>
      <w:lvlText w:val="%7."/>
      <w:lvlJc w:val="left"/>
      <w:pPr>
        <w:ind w:left="5040" w:hanging="360"/>
      </w:pPr>
    </w:lvl>
    <w:lvl w:ilvl="7" w:tplc="37DA3980">
      <w:start w:val="1"/>
      <w:numFmt w:val="lowerLetter"/>
      <w:lvlText w:val="%8."/>
      <w:lvlJc w:val="left"/>
      <w:pPr>
        <w:ind w:left="5760" w:hanging="360"/>
      </w:pPr>
    </w:lvl>
    <w:lvl w:ilvl="8" w:tplc="5CB60CF8">
      <w:start w:val="1"/>
      <w:numFmt w:val="lowerRoman"/>
      <w:lvlText w:val="%9."/>
      <w:lvlJc w:val="right"/>
      <w:pPr>
        <w:ind w:left="6480" w:hanging="180"/>
      </w:pPr>
    </w:lvl>
  </w:abstractNum>
  <w:abstractNum w:abstractNumId="31">
    <w:nsid w:val="53BA4688"/>
    <w:multiLevelType w:val="hybridMultilevel"/>
    <w:tmpl w:val="322C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7602F"/>
    <w:multiLevelType w:val="hybridMultilevel"/>
    <w:tmpl w:val="79065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5160D"/>
    <w:multiLevelType w:val="hybridMultilevel"/>
    <w:tmpl w:val="42263634"/>
    <w:lvl w:ilvl="0" w:tplc="C68A11FA">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9F12981"/>
    <w:multiLevelType w:val="hybridMultilevel"/>
    <w:tmpl w:val="E17A8E00"/>
    <w:lvl w:ilvl="0" w:tplc="C68A11FA">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7B42FFD"/>
    <w:multiLevelType w:val="hybridMultilevel"/>
    <w:tmpl w:val="9734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36F74"/>
    <w:multiLevelType w:val="hybridMultilevel"/>
    <w:tmpl w:val="856CED4E"/>
    <w:lvl w:ilvl="0" w:tplc="7E4A77BA">
      <w:start w:val="3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9C2187D"/>
    <w:multiLevelType w:val="hybridMultilevel"/>
    <w:tmpl w:val="84E6E42E"/>
    <w:lvl w:ilvl="0" w:tplc="C68A11FA">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AAF1A78"/>
    <w:multiLevelType w:val="hybridMultilevel"/>
    <w:tmpl w:val="4FFA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31B79"/>
    <w:multiLevelType w:val="hybridMultilevel"/>
    <w:tmpl w:val="33B87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21559DC"/>
    <w:multiLevelType w:val="hybridMultilevel"/>
    <w:tmpl w:val="1592F95A"/>
    <w:lvl w:ilvl="0" w:tplc="A0AA2700">
      <w:start w:val="1"/>
      <w:numFmt w:val="bullet"/>
      <w:lvlText w:val="·"/>
      <w:lvlJc w:val="left"/>
      <w:pPr>
        <w:ind w:left="720" w:hanging="360"/>
      </w:pPr>
      <w:rPr>
        <w:rFonts w:ascii="Symbol" w:hAnsi="Symbol" w:hint="default"/>
      </w:rPr>
    </w:lvl>
    <w:lvl w:ilvl="1" w:tplc="B010CBF4">
      <w:start w:val="1"/>
      <w:numFmt w:val="bullet"/>
      <w:lvlText w:val="o"/>
      <w:lvlJc w:val="left"/>
      <w:pPr>
        <w:ind w:left="1440" w:hanging="360"/>
      </w:pPr>
      <w:rPr>
        <w:rFonts w:ascii="Courier New" w:hAnsi="Courier New" w:hint="default"/>
      </w:rPr>
    </w:lvl>
    <w:lvl w:ilvl="2" w:tplc="CBBEE560">
      <w:start w:val="1"/>
      <w:numFmt w:val="bullet"/>
      <w:lvlText w:val=""/>
      <w:lvlJc w:val="left"/>
      <w:pPr>
        <w:ind w:left="2160" w:hanging="360"/>
      </w:pPr>
      <w:rPr>
        <w:rFonts w:ascii="Wingdings" w:hAnsi="Wingdings" w:hint="default"/>
      </w:rPr>
    </w:lvl>
    <w:lvl w:ilvl="3" w:tplc="2138AF0E">
      <w:start w:val="1"/>
      <w:numFmt w:val="bullet"/>
      <w:lvlText w:val=""/>
      <w:lvlJc w:val="left"/>
      <w:pPr>
        <w:ind w:left="2880" w:hanging="360"/>
      </w:pPr>
      <w:rPr>
        <w:rFonts w:ascii="Symbol" w:hAnsi="Symbol" w:hint="default"/>
      </w:rPr>
    </w:lvl>
    <w:lvl w:ilvl="4" w:tplc="1D080B6C">
      <w:start w:val="1"/>
      <w:numFmt w:val="bullet"/>
      <w:lvlText w:val="o"/>
      <w:lvlJc w:val="left"/>
      <w:pPr>
        <w:ind w:left="3600" w:hanging="360"/>
      </w:pPr>
      <w:rPr>
        <w:rFonts w:ascii="Courier New" w:hAnsi="Courier New" w:hint="default"/>
      </w:rPr>
    </w:lvl>
    <w:lvl w:ilvl="5" w:tplc="8858125A">
      <w:start w:val="1"/>
      <w:numFmt w:val="bullet"/>
      <w:lvlText w:val=""/>
      <w:lvlJc w:val="left"/>
      <w:pPr>
        <w:ind w:left="4320" w:hanging="360"/>
      </w:pPr>
      <w:rPr>
        <w:rFonts w:ascii="Wingdings" w:hAnsi="Wingdings" w:hint="default"/>
      </w:rPr>
    </w:lvl>
    <w:lvl w:ilvl="6" w:tplc="56D49F00">
      <w:start w:val="1"/>
      <w:numFmt w:val="bullet"/>
      <w:lvlText w:val=""/>
      <w:lvlJc w:val="left"/>
      <w:pPr>
        <w:ind w:left="5040" w:hanging="360"/>
      </w:pPr>
      <w:rPr>
        <w:rFonts w:ascii="Symbol" w:hAnsi="Symbol" w:hint="default"/>
      </w:rPr>
    </w:lvl>
    <w:lvl w:ilvl="7" w:tplc="66C4D84E">
      <w:start w:val="1"/>
      <w:numFmt w:val="bullet"/>
      <w:lvlText w:val="o"/>
      <w:lvlJc w:val="left"/>
      <w:pPr>
        <w:ind w:left="5760" w:hanging="360"/>
      </w:pPr>
      <w:rPr>
        <w:rFonts w:ascii="Courier New" w:hAnsi="Courier New" w:hint="default"/>
      </w:rPr>
    </w:lvl>
    <w:lvl w:ilvl="8" w:tplc="D174C83A">
      <w:start w:val="1"/>
      <w:numFmt w:val="bullet"/>
      <w:lvlText w:val=""/>
      <w:lvlJc w:val="left"/>
      <w:pPr>
        <w:ind w:left="6480" w:hanging="360"/>
      </w:pPr>
      <w:rPr>
        <w:rFonts w:ascii="Wingdings" w:hAnsi="Wingdings" w:hint="default"/>
      </w:rPr>
    </w:lvl>
  </w:abstractNum>
  <w:abstractNum w:abstractNumId="41">
    <w:nsid w:val="758B32C0"/>
    <w:multiLevelType w:val="hybridMultilevel"/>
    <w:tmpl w:val="68DE6E96"/>
    <w:lvl w:ilvl="0" w:tplc="CA8AAF4A">
      <w:start w:val="1"/>
      <w:numFmt w:val="decimal"/>
      <w:lvlText w:val="%1."/>
      <w:lvlJc w:val="left"/>
      <w:pPr>
        <w:ind w:left="720" w:hanging="360"/>
      </w:pPr>
    </w:lvl>
    <w:lvl w:ilvl="1" w:tplc="3BAA68FE">
      <w:start w:val="1"/>
      <w:numFmt w:val="lowerLetter"/>
      <w:lvlText w:val="%2."/>
      <w:lvlJc w:val="left"/>
      <w:pPr>
        <w:ind w:left="1440" w:hanging="360"/>
      </w:pPr>
    </w:lvl>
    <w:lvl w:ilvl="2" w:tplc="7904073E">
      <w:start w:val="1"/>
      <w:numFmt w:val="lowerRoman"/>
      <w:lvlText w:val="%3."/>
      <w:lvlJc w:val="right"/>
      <w:pPr>
        <w:ind w:left="2160" w:hanging="180"/>
      </w:pPr>
    </w:lvl>
    <w:lvl w:ilvl="3" w:tplc="5A60A0EA">
      <w:start w:val="1"/>
      <w:numFmt w:val="decimal"/>
      <w:lvlText w:val="%4."/>
      <w:lvlJc w:val="left"/>
      <w:pPr>
        <w:ind w:left="2880" w:hanging="360"/>
      </w:pPr>
    </w:lvl>
    <w:lvl w:ilvl="4" w:tplc="BF162340">
      <w:start w:val="1"/>
      <w:numFmt w:val="lowerLetter"/>
      <w:lvlText w:val="%5."/>
      <w:lvlJc w:val="left"/>
      <w:pPr>
        <w:ind w:left="3600" w:hanging="360"/>
      </w:pPr>
    </w:lvl>
    <w:lvl w:ilvl="5" w:tplc="D3760D94">
      <w:start w:val="1"/>
      <w:numFmt w:val="lowerRoman"/>
      <w:lvlText w:val="%6."/>
      <w:lvlJc w:val="right"/>
      <w:pPr>
        <w:ind w:left="4320" w:hanging="180"/>
      </w:pPr>
    </w:lvl>
    <w:lvl w:ilvl="6" w:tplc="317A72B0">
      <w:start w:val="1"/>
      <w:numFmt w:val="decimal"/>
      <w:lvlText w:val="%7."/>
      <w:lvlJc w:val="left"/>
      <w:pPr>
        <w:ind w:left="5040" w:hanging="360"/>
      </w:pPr>
    </w:lvl>
    <w:lvl w:ilvl="7" w:tplc="641033D4">
      <w:start w:val="1"/>
      <w:numFmt w:val="lowerLetter"/>
      <w:lvlText w:val="%8."/>
      <w:lvlJc w:val="left"/>
      <w:pPr>
        <w:ind w:left="5760" w:hanging="360"/>
      </w:pPr>
    </w:lvl>
    <w:lvl w:ilvl="8" w:tplc="B5483510">
      <w:start w:val="1"/>
      <w:numFmt w:val="lowerRoman"/>
      <w:lvlText w:val="%9."/>
      <w:lvlJc w:val="right"/>
      <w:pPr>
        <w:ind w:left="6480" w:hanging="180"/>
      </w:pPr>
    </w:lvl>
  </w:abstractNum>
  <w:abstractNum w:abstractNumId="42">
    <w:nsid w:val="77D73DD2"/>
    <w:multiLevelType w:val="hybridMultilevel"/>
    <w:tmpl w:val="FFB8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E25007"/>
    <w:multiLevelType w:val="hybridMultilevel"/>
    <w:tmpl w:val="CE8A2B3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7AC7776C"/>
    <w:multiLevelType w:val="hybridMultilevel"/>
    <w:tmpl w:val="96FCE6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E3473B2"/>
    <w:multiLevelType w:val="hybridMultilevel"/>
    <w:tmpl w:val="A97698F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E670F02"/>
    <w:multiLevelType w:val="hybridMultilevel"/>
    <w:tmpl w:val="FFA85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65268B"/>
    <w:multiLevelType w:val="hybridMultilevel"/>
    <w:tmpl w:val="C458D5EC"/>
    <w:lvl w:ilvl="0" w:tplc="C68A11FA">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3"/>
  </w:num>
  <w:num w:numId="4">
    <w:abstractNumId w:val="13"/>
  </w:num>
  <w:num w:numId="5">
    <w:abstractNumId w:val="24"/>
  </w:num>
  <w:num w:numId="6">
    <w:abstractNumId w:val="18"/>
  </w:num>
  <w:num w:numId="7">
    <w:abstractNumId w:val="31"/>
  </w:num>
  <w:num w:numId="8">
    <w:abstractNumId w:val="0"/>
  </w:num>
  <w:num w:numId="9">
    <w:abstractNumId w:val="9"/>
  </w:num>
  <w:num w:numId="10">
    <w:abstractNumId w:val="32"/>
  </w:num>
  <w:num w:numId="11">
    <w:abstractNumId w:val="5"/>
  </w:num>
  <w:num w:numId="12">
    <w:abstractNumId w:val="15"/>
  </w:num>
  <w:num w:numId="13">
    <w:abstractNumId w:val="4"/>
  </w:num>
  <w:num w:numId="14">
    <w:abstractNumId w:val="42"/>
  </w:num>
  <w:num w:numId="15">
    <w:abstractNumId w:val="12"/>
  </w:num>
  <w:num w:numId="16">
    <w:abstractNumId w:val="38"/>
  </w:num>
  <w:num w:numId="17">
    <w:abstractNumId w:val="35"/>
  </w:num>
  <w:num w:numId="18">
    <w:abstractNumId w:val="25"/>
  </w:num>
  <w:num w:numId="19">
    <w:abstractNumId w:val="46"/>
  </w:num>
  <w:num w:numId="20">
    <w:abstractNumId w:val="39"/>
  </w:num>
  <w:num w:numId="21">
    <w:abstractNumId w:val="1"/>
  </w:num>
  <w:num w:numId="22">
    <w:abstractNumId w:val="6"/>
  </w:num>
  <w:num w:numId="23">
    <w:abstractNumId w:val="23"/>
  </w:num>
  <w:num w:numId="24">
    <w:abstractNumId w:val="27"/>
  </w:num>
  <w:num w:numId="25">
    <w:abstractNumId w:val="10"/>
  </w:num>
  <w:num w:numId="26">
    <w:abstractNumId w:val="37"/>
  </w:num>
  <w:num w:numId="27">
    <w:abstractNumId w:val="36"/>
  </w:num>
  <w:num w:numId="28">
    <w:abstractNumId w:val="21"/>
  </w:num>
  <w:num w:numId="29">
    <w:abstractNumId w:val="14"/>
  </w:num>
  <w:num w:numId="30">
    <w:abstractNumId w:val="33"/>
  </w:num>
  <w:num w:numId="31">
    <w:abstractNumId w:val="34"/>
  </w:num>
  <w:num w:numId="32">
    <w:abstractNumId w:val="47"/>
  </w:num>
  <w:num w:numId="33">
    <w:abstractNumId w:val="16"/>
  </w:num>
  <w:num w:numId="34">
    <w:abstractNumId w:val="43"/>
  </w:num>
  <w:num w:numId="35">
    <w:abstractNumId w:val="17"/>
  </w:num>
  <w:num w:numId="36">
    <w:abstractNumId w:val="44"/>
  </w:num>
  <w:num w:numId="37">
    <w:abstractNumId w:val="45"/>
  </w:num>
  <w:num w:numId="38">
    <w:abstractNumId w:val="19"/>
  </w:num>
  <w:num w:numId="39">
    <w:abstractNumId w:val="20"/>
  </w:num>
  <w:num w:numId="40">
    <w:abstractNumId w:val="11"/>
  </w:num>
  <w:num w:numId="41">
    <w:abstractNumId w:val="8"/>
  </w:num>
  <w:num w:numId="42">
    <w:abstractNumId w:val="40"/>
  </w:num>
  <w:num w:numId="43">
    <w:abstractNumId w:val="22"/>
  </w:num>
  <w:num w:numId="44">
    <w:abstractNumId w:val="7"/>
  </w:num>
  <w:num w:numId="45">
    <w:abstractNumId w:val="2"/>
  </w:num>
  <w:num w:numId="46">
    <w:abstractNumId w:val="29"/>
  </w:num>
  <w:num w:numId="47">
    <w:abstractNumId w:val="2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73"/>
    <w:rsid w:val="000009D1"/>
    <w:rsid w:val="000018C7"/>
    <w:rsid w:val="000040D1"/>
    <w:rsid w:val="00004210"/>
    <w:rsid w:val="00006206"/>
    <w:rsid w:val="0001058B"/>
    <w:rsid w:val="00012E2E"/>
    <w:rsid w:val="000151E9"/>
    <w:rsid w:val="00022B4A"/>
    <w:rsid w:val="00025A23"/>
    <w:rsid w:val="0003788B"/>
    <w:rsid w:val="00042261"/>
    <w:rsid w:val="00043506"/>
    <w:rsid w:val="00054D51"/>
    <w:rsid w:val="00056476"/>
    <w:rsid w:val="0006208A"/>
    <w:rsid w:val="00063143"/>
    <w:rsid w:val="000764AC"/>
    <w:rsid w:val="000771EA"/>
    <w:rsid w:val="00084926"/>
    <w:rsid w:val="0008555F"/>
    <w:rsid w:val="00085DD0"/>
    <w:rsid w:val="00086F5E"/>
    <w:rsid w:val="00087FA4"/>
    <w:rsid w:val="00096503"/>
    <w:rsid w:val="000977AE"/>
    <w:rsid w:val="000A5853"/>
    <w:rsid w:val="000C169B"/>
    <w:rsid w:val="000C2E85"/>
    <w:rsid w:val="000C3F01"/>
    <w:rsid w:val="000C5D14"/>
    <w:rsid w:val="000C6F2D"/>
    <w:rsid w:val="000D11EE"/>
    <w:rsid w:val="000D1279"/>
    <w:rsid w:val="000D53AB"/>
    <w:rsid w:val="000D6615"/>
    <w:rsid w:val="000E3CFE"/>
    <w:rsid w:val="000F2A16"/>
    <w:rsid w:val="000F66E8"/>
    <w:rsid w:val="0010041D"/>
    <w:rsid w:val="00101615"/>
    <w:rsid w:val="001138C0"/>
    <w:rsid w:val="001150AA"/>
    <w:rsid w:val="001343BB"/>
    <w:rsid w:val="00142040"/>
    <w:rsid w:val="00143BA5"/>
    <w:rsid w:val="00143E90"/>
    <w:rsid w:val="00145936"/>
    <w:rsid w:val="001472BB"/>
    <w:rsid w:val="00152E01"/>
    <w:rsid w:val="00160BB8"/>
    <w:rsid w:val="0016161A"/>
    <w:rsid w:val="00161721"/>
    <w:rsid w:val="00162AB8"/>
    <w:rsid w:val="00164B2E"/>
    <w:rsid w:val="00172C68"/>
    <w:rsid w:val="00172F48"/>
    <w:rsid w:val="00174A46"/>
    <w:rsid w:val="001757BC"/>
    <w:rsid w:val="001759B6"/>
    <w:rsid w:val="001759E1"/>
    <w:rsid w:val="00194B33"/>
    <w:rsid w:val="001967AD"/>
    <w:rsid w:val="001A11D5"/>
    <w:rsid w:val="001A24BA"/>
    <w:rsid w:val="001A2C81"/>
    <w:rsid w:val="001A37C9"/>
    <w:rsid w:val="001B1E70"/>
    <w:rsid w:val="001C0CB7"/>
    <w:rsid w:val="001C1DE3"/>
    <w:rsid w:val="001C2993"/>
    <w:rsid w:val="001E1697"/>
    <w:rsid w:val="001E18CB"/>
    <w:rsid w:val="001E2738"/>
    <w:rsid w:val="001E4832"/>
    <w:rsid w:val="001E5125"/>
    <w:rsid w:val="001F0FDB"/>
    <w:rsid w:val="001F2A64"/>
    <w:rsid w:val="001F5790"/>
    <w:rsid w:val="001F7999"/>
    <w:rsid w:val="0020219C"/>
    <w:rsid w:val="00205EED"/>
    <w:rsid w:val="00206D58"/>
    <w:rsid w:val="002126A4"/>
    <w:rsid w:val="0022322F"/>
    <w:rsid w:val="00231B22"/>
    <w:rsid w:val="0023254E"/>
    <w:rsid w:val="0023520F"/>
    <w:rsid w:val="00236F3D"/>
    <w:rsid w:val="0024044B"/>
    <w:rsid w:val="002418E8"/>
    <w:rsid w:val="002425AA"/>
    <w:rsid w:val="00243C14"/>
    <w:rsid w:val="002464B8"/>
    <w:rsid w:val="0025288B"/>
    <w:rsid w:val="00255910"/>
    <w:rsid w:val="0026170D"/>
    <w:rsid w:val="002618A1"/>
    <w:rsid w:val="00272BCD"/>
    <w:rsid w:val="00273B8B"/>
    <w:rsid w:val="002863ED"/>
    <w:rsid w:val="00293EAD"/>
    <w:rsid w:val="00295BB3"/>
    <w:rsid w:val="002A31CD"/>
    <w:rsid w:val="002A3F1D"/>
    <w:rsid w:val="002B03ED"/>
    <w:rsid w:val="002B6686"/>
    <w:rsid w:val="002C6706"/>
    <w:rsid w:val="002C7261"/>
    <w:rsid w:val="002D177F"/>
    <w:rsid w:val="002D1811"/>
    <w:rsid w:val="002D4377"/>
    <w:rsid w:val="002D4AA4"/>
    <w:rsid w:val="002E0F87"/>
    <w:rsid w:val="002E77A2"/>
    <w:rsid w:val="002F4173"/>
    <w:rsid w:val="00302FF6"/>
    <w:rsid w:val="00305FF3"/>
    <w:rsid w:val="0030787A"/>
    <w:rsid w:val="003130D2"/>
    <w:rsid w:val="003211E9"/>
    <w:rsid w:val="00326506"/>
    <w:rsid w:val="003309DE"/>
    <w:rsid w:val="0033221E"/>
    <w:rsid w:val="00332633"/>
    <w:rsid w:val="00332DBA"/>
    <w:rsid w:val="00333CF3"/>
    <w:rsid w:val="0033678A"/>
    <w:rsid w:val="00340D5F"/>
    <w:rsid w:val="00345F24"/>
    <w:rsid w:val="003468F4"/>
    <w:rsid w:val="00366E35"/>
    <w:rsid w:val="0037451D"/>
    <w:rsid w:val="00383DBB"/>
    <w:rsid w:val="00386AD3"/>
    <w:rsid w:val="00387897"/>
    <w:rsid w:val="00394404"/>
    <w:rsid w:val="003A14A8"/>
    <w:rsid w:val="003B1325"/>
    <w:rsid w:val="003B2408"/>
    <w:rsid w:val="003C5EF2"/>
    <w:rsid w:val="003D5C5D"/>
    <w:rsid w:val="003D768B"/>
    <w:rsid w:val="003F347B"/>
    <w:rsid w:val="003F4430"/>
    <w:rsid w:val="003F6550"/>
    <w:rsid w:val="00400845"/>
    <w:rsid w:val="00401F6A"/>
    <w:rsid w:val="004056A0"/>
    <w:rsid w:val="004056AC"/>
    <w:rsid w:val="00407565"/>
    <w:rsid w:val="00410A2B"/>
    <w:rsid w:val="004163FF"/>
    <w:rsid w:val="0041647C"/>
    <w:rsid w:val="00416F55"/>
    <w:rsid w:val="00420CC9"/>
    <w:rsid w:val="00425322"/>
    <w:rsid w:val="00425FE5"/>
    <w:rsid w:val="00426233"/>
    <w:rsid w:val="004312D7"/>
    <w:rsid w:val="00436575"/>
    <w:rsid w:val="00436E6D"/>
    <w:rsid w:val="00440DC0"/>
    <w:rsid w:val="00440EF7"/>
    <w:rsid w:val="00441584"/>
    <w:rsid w:val="00444DE0"/>
    <w:rsid w:val="00453809"/>
    <w:rsid w:val="00455128"/>
    <w:rsid w:val="00455251"/>
    <w:rsid w:val="00467E65"/>
    <w:rsid w:val="004743D7"/>
    <w:rsid w:val="00482E7D"/>
    <w:rsid w:val="004852AA"/>
    <w:rsid w:val="004859E9"/>
    <w:rsid w:val="00497737"/>
    <w:rsid w:val="004A0EFF"/>
    <w:rsid w:val="004A3593"/>
    <w:rsid w:val="004C3E80"/>
    <w:rsid w:val="004C52B5"/>
    <w:rsid w:val="004D4333"/>
    <w:rsid w:val="004D5C5B"/>
    <w:rsid w:val="004D6D7C"/>
    <w:rsid w:val="004D7D26"/>
    <w:rsid w:val="004E3312"/>
    <w:rsid w:val="004E4DB0"/>
    <w:rsid w:val="004E7E43"/>
    <w:rsid w:val="004F6C83"/>
    <w:rsid w:val="00500151"/>
    <w:rsid w:val="00506D95"/>
    <w:rsid w:val="00512DE8"/>
    <w:rsid w:val="00513C32"/>
    <w:rsid w:val="0052241C"/>
    <w:rsid w:val="00531973"/>
    <w:rsid w:val="00535667"/>
    <w:rsid w:val="00556C87"/>
    <w:rsid w:val="005570CB"/>
    <w:rsid w:val="005572BA"/>
    <w:rsid w:val="00564DC7"/>
    <w:rsid w:val="0057308D"/>
    <w:rsid w:val="005859AD"/>
    <w:rsid w:val="0059018B"/>
    <w:rsid w:val="00593C4A"/>
    <w:rsid w:val="00594694"/>
    <w:rsid w:val="00597054"/>
    <w:rsid w:val="005A541B"/>
    <w:rsid w:val="005B0448"/>
    <w:rsid w:val="005B68A6"/>
    <w:rsid w:val="005C7BA6"/>
    <w:rsid w:val="005D7C06"/>
    <w:rsid w:val="005E0A64"/>
    <w:rsid w:val="005E138F"/>
    <w:rsid w:val="005E1473"/>
    <w:rsid w:val="005E1A85"/>
    <w:rsid w:val="005E24FD"/>
    <w:rsid w:val="005E2792"/>
    <w:rsid w:val="005F4859"/>
    <w:rsid w:val="0060154F"/>
    <w:rsid w:val="0060675F"/>
    <w:rsid w:val="00610E17"/>
    <w:rsid w:val="006120B2"/>
    <w:rsid w:val="00620F15"/>
    <w:rsid w:val="006221BB"/>
    <w:rsid w:val="00624A72"/>
    <w:rsid w:val="00624B82"/>
    <w:rsid w:val="006262F7"/>
    <w:rsid w:val="00626FA4"/>
    <w:rsid w:val="00634665"/>
    <w:rsid w:val="00634765"/>
    <w:rsid w:val="0064081A"/>
    <w:rsid w:val="006452BE"/>
    <w:rsid w:val="00646674"/>
    <w:rsid w:val="00646826"/>
    <w:rsid w:val="00650F6B"/>
    <w:rsid w:val="00650F6D"/>
    <w:rsid w:val="00654006"/>
    <w:rsid w:val="0066688D"/>
    <w:rsid w:val="00673B12"/>
    <w:rsid w:val="00673C9A"/>
    <w:rsid w:val="00674AC4"/>
    <w:rsid w:val="00675747"/>
    <w:rsid w:val="006826FC"/>
    <w:rsid w:val="00685B55"/>
    <w:rsid w:val="006864D9"/>
    <w:rsid w:val="00691B91"/>
    <w:rsid w:val="00691EF3"/>
    <w:rsid w:val="00694E47"/>
    <w:rsid w:val="0069632C"/>
    <w:rsid w:val="006B079C"/>
    <w:rsid w:val="006B2865"/>
    <w:rsid w:val="006B2893"/>
    <w:rsid w:val="006B64C3"/>
    <w:rsid w:val="006C3B57"/>
    <w:rsid w:val="006C4204"/>
    <w:rsid w:val="006C46FC"/>
    <w:rsid w:val="006C4AF7"/>
    <w:rsid w:val="006C4F49"/>
    <w:rsid w:val="006C5A38"/>
    <w:rsid w:val="006C72AA"/>
    <w:rsid w:val="006D0062"/>
    <w:rsid w:val="006E00D9"/>
    <w:rsid w:val="006E3294"/>
    <w:rsid w:val="007015AA"/>
    <w:rsid w:val="0070522A"/>
    <w:rsid w:val="00706455"/>
    <w:rsid w:val="0071060D"/>
    <w:rsid w:val="00711610"/>
    <w:rsid w:val="0071213B"/>
    <w:rsid w:val="007178A6"/>
    <w:rsid w:val="00720FC4"/>
    <w:rsid w:val="00721B30"/>
    <w:rsid w:val="007228F3"/>
    <w:rsid w:val="00725C3B"/>
    <w:rsid w:val="00727626"/>
    <w:rsid w:val="007325FF"/>
    <w:rsid w:val="00733365"/>
    <w:rsid w:val="007336D2"/>
    <w:rsid w:val="0073395A"/>
    <w:rsid w:val="00734EF9"/>
    <w:rsid w:val="0073613F"/>
    <w:rsid w:val="0074543E"/>
    <w:rsid w:val="0074600E"/>
    <w:rsid w:val="007501C4"/>
    <w:rsid w:val="00752987"/>
    <w:rsid w:val="00754D45"/>
    <w:rsid w:val="0076055E"/>
    <w:rsid w:val="00761FC5"/>
    <w:rsid w:val="00763A21"/>
    <w:rsid w:val="007657CF"/>
    <w:rsid w:val="00772AB9"/>
    <w:rsid w:val="00775DD4"/>
    <w:rsid w:val="00780876"/>
    <w:rsid w:val="00780DEC"/>
    <w:rsid w:val="00782D7D"/>
    <w:rsid w:val="00786BB2"/>
    <w:rsid w:val="00787507"/>
    <w:rsid w:val="00795885"/>
    <w:rsid w:val="00796D61"/>
    <w:rsid w:val="00796D73"/>
    <w:rsid w:val="007A6407"/>
    <w:rsid w:val="007B3A4F"/>
    <w:rsid w:val="007B3D08"/>
    <w:rsid w:val="007B44B3"/>
    <w:rsid w:val="007C6BE3"/>
    <w:rsid w:val="007D07CF"/>
    <w:rsid w:val="007D16F6"/>
    <w:rsid w:val="007D310E"/>
    <w:rsid w:val="007D5442"/>
    <w:rsid w:val="007D7371"/>
    <w:rsid w:val="007E04EC"/>
    <w:rsid w:val="007E0BA1"/>
    <w:rsid w:val="007E59B6"/>
    <w:rsid w:val="007E6FED"/>
    <w:rsid w:val="007F4CE4"/>
    <w:rsid w:val="008020BB"/>
    <w:rsid w:val="0080334B"/>
    <w:rsid w:val="00806C88"/>
    <w:rsid w:val="00816639"/>
    <w:rsid w:val="008248A8"/>
    <w:rsid w:val="00825DBA"/>
    <w:rsid w:val="0082735A"/>
    <w:rsid w:val="00833B05"/>
    <w:rsid w:val="00833D19"/>
    <w:rsid w:val="00833EE7"/>
    <w:rsid w:val="0084059F"/>
    <w:rsid w:val="00840ACB"/>
    <w:rsid w:val="00841000"/>
    <w:rsid w:val="00841A26"/>
    <w:rsid w:val="00843AD1"/>
    <w:rsid w:val="00850BFE"/>
    <w:rsid w:val="00852C67"/>
    <w:rsid w:val="0085307E"/>
    <w:rsid w:val="0085630B"/>
    <w:rsid w:val="008565C7"/>
    <w:rsid w:val="00857579"/>
    <w:rsid w:val="00860C1D"/>
    <w:rsid w:val="00862CBA"/>
    <w:rsid w:val="008650BF"/>
    <w:rsid w:val="00865144"/>
    <w:rsid w:val="00872A66"/>
    <w:rsid w:val="00881736"/>
    <w:rsid w:val="00886255"/>
    <w:rsid w:val="008874B7"/>
    <w:rsid w:val="008914E3"/>
    <w:rsid w:val="00891E71"/>
    <w:rsid w:val="00894D9E"/>
    <w:rsid w:val="008A6F1A"/>
    <w:rsid w:val="008C2995"/>
    <w:rsid w:val="008D1FC5"/>
    <w:rsid w:val="008D27B1"/>
    <w:rsid w:val="008D33B6"/>
    <w:rsid w:val="008E01DB"/>
    <w:rsid w:val="008E0FF0"/>
    <w:rsid w:val="008E6F46"/>
    <w:rsid w:val="008F2520"/>
    <w:rsid w:val="00902ECC"/>
    <w:rsid w:val="00905DEB"/>
    <w:rsid w:val="00907C92"/>
    <w:rsid w:val="00910B7F"/>
    <w:rsid w:val="00911D5C"/>
    <w:rsid w:val="009154EC"/>
    <w:rsid w:val="00932F63"/>
    <w:rsid w:val="009406EF"/>
    <w:rsid w:val="00940ED1"/>
    <w:rsid w:val="009410C5"/>
    <w:rsid w:val="00953A9B"/>
    <w:rsid w:val="00971C8E"/>
    <w:rsid w:val="009751F0"/>
    <w:rsid w:val="00975A19"/>
    <w:rsid w:val="0098025E"/>
    <w:rsid w:val="009804E4"/>
    <w:rsid w:val="00981343"/>
    <w:rsid w:val="00991976"/>
    <w:rsid w:val="00996E55"/>
    <w:rsid w:val="00997A94"/>
    <w:rsid w:val="009A2D18"/>
    <w:rsid w:val="009A5750"/>
    <w:rsid w:val="009A5C99"/>
    <w:rsid w:val="009A7365"/>
    <w:rsid w:val="009B3C08"/>
    <w:rsid w:val="009C154F"/>
    <w:rsid w:val="009C2F48"/>
    <w:rsid w:val="009C5031"/>
    <w:rsid w:val="009C511E"/>
    <w:rsid w:val="009C6A48"/>
    <w:rsid w:val="009C7C48"/>
    <w:rsid w:val="009D2DAB"/>
    <w:rsid w:val="009D3375"/>
    <w:rsid w:val="009D492C"/>
    <w:rsid w:val="009D4DD5"/>
    <w:rsid w:val="009D63A8"/>
    <w:rsid w:val="009E026B"/>
    <w:rsid w:val="009F2810"/>
    <w:rsid w:val="009F3A2D"/>
    <w:rsid w:val="009F65C0"/>
    <w:rsid w:val="009F6878"/>
    <w:rsid w:val="00A00784"/>
    <w:rsid w:val="00A108E2"/>
    <w:rsid w:val="00A122B4"/>
    <w:rsid w:val="00A204C0"/>
    <w:rsid w:val="00A21793"/>
    <w:rsid w:val="00A33B05"/>
    <w:rsid w:val="00A3448B"/>
    <w:rsid w:val="00A346FE"/>
    <w:rsid w:val="00A35F51"/>
    <w:rsid w:val="00A364EB"/>
    <w:rsid w:val="00A37E92"/>
    <w:rsid w:val="00A41562"/>
    <w:rsid w:val="00A463B8"/>
    <w:rsid w:val="00A50F26"/>
    <w:rsid w:val="00A51701"/>
    <w:rsid w:val="00A51D66"/>
    <w:rsid w:val="00A51E04"/>
    <w:rsid w:val="00A56F2C"/>
    <w:rsid w:val="00A64089"/>
    <w:rsid w:val="00A72F73"/>
    <w:rsid w:val="00A8537A"/>
    <w:rsid w:val="00A86857"/>
    <w:rsid w:val="00A91335"/>
    <w:rsid w:val="00A95D3D"/>
    <w:rsid w:val="00A96ED3"/>
    <w:rsid w:val="00AB3C8E"/>
    <w:rsid w:val="00AB408B"/>
    <w:rsid w:val="00AC108B"/>
    <w:rsid w:val="00AC397C"/>
    <w:rsid w:val="00AD1D8F"/>
    <w:rsid w:val="00AD6547"/>
    <w:rsid w:val="00AE5F70"/>
    <w:rsid w:val="00AF100B"/>
    <w:rsid w:val="00AF5A8A"/>
    <w:rsid w:val="00B0092E"/>
    <w:rsid w:val="00B00932"/>
    <w:rsid w:val="00B165B3"/>
    <w:rsid w:val="00B17CB0"/>
    <w:rsid w:val="00B22C61"/>
    <w:rsid w:val="00B309ED"/>
    <w:rsid w:val="00B3154C"/>
    <w:rsid w:val="00B34876"/>
    <w:rsid w:val="00B36B85"/>
    <w:rsid w:val="00B4172D"/>
    <w:rsid w:val="00B438C4"/>
    <w:rsid w:val="00B46A18"/>
    <w:rsid w:val="00B47A7E"/>
    <w:rsid w:val="00B572FF"/>
    <w:rsid w:val="00B60851"/>
    <w:rsid w:val="00B65796"/>
    <w:rsid w:val="00B67233"/>
    <w:rsid w:val="00B7032A"/>
    <w:rsid w:val="00B72DE7"/>
    <w:rsid w:val="00B72E10"/>
    <w:rsid w:val="00B72E17"/>
    <w:rsid w:val="00B77FBA"/>
    <w:rsid w:val="00B8014C"/>
    <w:rsid w:val="00B84009"/>
    <w:rsid w:val="00B906FA"/>
    <w:rsid w:val="00B90FC7"/>
    <w:rsid w:val="00B92A5E"/>
    <w:rsid w:val="00B92B73"/>
    <w:rsid w:val="00B952F6"/>
    <w:rsid w:val="00B959C3"/>
    <w:rsid w:val="00BA02EA"/>
    <w:rsid w:val="00BB18A8"/>
    <w:rsid w:val="00BB2D99"/>
    <w:rsid w:val="00BB46AB"/>
    <w:rsid w:val="00BC36F2"/>
    <w:rsid w:val="00BC51F3"/>
    <w:rsid w:val="00BC7A7D"/>
    <w:rsid w:val="00BC7D4E"/>
    <w:rsid w:val="00BD2804"/>
    <w:rsid w:val="00BD35D5"/>
    <w:rsid w:val="00BD5C61"/>
    <w:rsid w:val="00BD5D9F"/>
    <w:rsid w:val="00BD73D8"/>
    <w:rsid w:val="00BE1BB2"/>
    <w:rsid w:val="00BF3842"/>
    <w:rsid w:val="00C00E13"/>
    <w:rsid w:val="00C06387"/>
    <w:rsid w:val="00C07665"/>
    <w:rsid w:val="00C1069C"/>
    <w:rsid w:val="00C106EE"/>
    <w:rsid w:val="00C12BD4"/>
    <w:rsid w:val="00C2069A"/>
    <w:rsid w:val="00C20A1D"/>
    <w:rsid w:val="00C22E03"/>
    <w:rsid w:val="00C25CA7"/>
    <w:rsid w:val="00C3076B"/>
    <w:rsid w:val="00C3698C"/>
    <w:rsid w:val="00C4124D"/>
    <w:rsid w:val="00C41F5E"/>
    <w:rsid w:val="00C45C59"/>
    <w:rsid w:val="00C558E7"/>
    <w:rsid w:val="00C56D44"/>
    <w:rsid w:val="00C57C0C"/>
    <w:rsid w:val="00C60888"/>
    <w:rsid w:val="00C6492A"/>
    <w:rsid w:val="00C65647"/>
    <w:rsid w:val="00C66920"/>
    <w:rsid w:val="00C702DE"/>
    <w:rsid w:val="00C706E1"/>
    <w:rsid w:val="00C70BA6"/>
    <w:rsid w:val="00C72AFF"/>
    <w:rsid w:val="00C80230"/>
    <w:rsid w:val="00C806E5"/>
    <w:rsid w:val="00C81AF2"/>
    <w:rsid w:val="00C8365C"/>
    <w:rsid w:val="00C901CF"/>
    <w:rsid w:val="00C95DB7"/>
    <w:rsid w:val="00CA078B"/>
    <w:rsid w:val="00CA1401"/>
    <w:rsid w:val="00CA1A73"/>
    <w:rsid w:val="00CA2987"/>
    <w:rsid w:val="00CA3C72"/>
    <w:rsid w:val="00CA77F1"/>
    <w:rsid w:val="00CB1DEA"/>
    <w:rsid w:val="00CB6CF7"/>
    <w:rsid w:val="00CB7B08"/>
    <w:rsid w:val="00CC2DE9"/>
    <w:rsid w:val="00CC2FC2"/>
    <w:rsid w:val="00CC6B4F"/>
    <w:rsid w:val="00CD32EE"/>
    <w:rsid w:val="00CD5DA5"/>
    <w:rsid w:val="00CD735F"/>
    <w:rsid w:val="00CD7BDD"/>
    <w:rsid w:val="00CE7AEC"/>
    <w:rsid w:val="00CF1054"/>
    <w:rsid w:val="00D00959"/>
    <w:rsid w:val="00D033A0"/>
    <w:rsid w:val="00D0638B"/>
    <w:rsid w:val="00D15A78"/>
    <w:rsid w:val="00D15C77"/>
    <w:rsid w:val="00D16C79"/>
    <w:rsid w:val="00D17BC7"/>
    <w:rsid w:val="00D236BD"/>
    <w:rsid w:val="00D2396A"/>
    <w:rsid w:val="00D31D9A"/>
    <w:rsid w:val="00D4088E"/>
    <w:rsid w:val="00D4339A"/>
    <w:rsid w:val="00D56ECA"/>
    <w:rsid w:val="00D621E5"/>
    <w:rsid w:val="00D715DF"/>
    <w:rsid w:val="00D72CC7"/>
    <w:rsid w:val="00D754B2"/>
    <w:rsid w:val="00D7671A"/>
    <w:rsid w:val="00D82755"/>
    <w:rsid w:val="00D83A72"/>
    <w:rsid w:val="00D94D7D"/>
    <w:rsid w:val="00DB01D7"/>
    <w:rsid w:val="00DB46ED"/>
    <w:rsid w:val="00DB6373"/>
    <w:rsid w:val="00DB6BEE"/>
    <w:rsid w:val="00DB6C55"/>
    <w:rsid w:val="00DB6E91"/>
    <w:rsid w:val="00DC3B0D"/>
    <w:rsid w:val="00DE13FD"/>
    <w:rsid w:val="00DE6D8E"/>
    <w:rsid w:val="00DF31AD"/>
    <w:rsid w:val="00DF5681"/>
    <w:rsid w:val="00DF669E"/>
    <w:rsid w:val="00E0478C"/>
    <w:rsid w:val="00E06956"/>
    <w:rsid w:val="00E12912"/>
    <w:rsid w:val="00E14AAE"/>
    <w:rsid w:val="00E153B4"/>
    <w:rsid w:val="00E1595B"/>
    <w:rsid w:val="00E17C31"/>
    <w:rsid w:val="00E216AD"/>
    <w:rsid w:val="00E24B68"/>
    <w:rsid w:val="00E26C0E"/>
    <w:rsid w:val="00E30261"/>
    <w:rsid w:val="00E33DEA"/>
    <w:rsid w:val="00E34839"/>
    <w:rsid w:val="00E43B2F"/>
    <w:rsid w:val="00E46D6E"/>
    <w:rsid w:val="00E502F6"/>
    <w:rsid w:val="00E50C07"/>
    <w:rsid w:val="00E55190"/>
    <w:rsid w:val="00E569FB"/>
    <w:rsid w:val="00E62FAD"/>
    <w:rsid w:val="00E63613"/>
    <w:rsid w:val="00E64CB1"/>
    <w:rsid w:val="00E652B0"/>
    <w:rsid w:val="00E679F3"/>
    <w:rsid w:val="00E77014"/>
    <w:rsid w:val="00E822F2"/>
    <w:rsid w:val="00E825F1"/>
    <w:rsid w:val="00E83D6D"/>
    <w:rsid w:val="00E84C5E"/>
    <w:rsid w:val="00E85203"/>
    <w:rsid w:val="00E85230"/>
    <w:rsid w:val="00EA034E"/>
    <w:rsid w:val="00EA0F64"/>
    <w:rsid w:val="00EA5266"/>
    <w:rsid w:val="00EA7BEF"/>
    <w:rsid w:val="00EC2D00"/>
    <w:rsid w:val="00EC4CE0"/>
    <w:rsid w:val="00ED1EA7"/>
    <w:rsid w:val="00ED7214"/>
    <w:rsid w:val="00ED79E9"/>
    <w:rsid w:val="00EE46D6"/>
    <w:rsid w:val="00EE4A83"/>
    <w:rsid w:val="00EF6234"/>
    <w:rsid w:val="00F2798F"/>
    <w:rsid w:val="00F352F2"/>
    <w:rsid w:val="00F44196"/>
    <w:rsid w:val="00F511ED"/>
    <w:rsid w:val="00F520EF"/>
    <w:rsid w:val="00F54929"/>
    <w:rsid w:val="00F55A94"/>
    <w:rsid w:val="00F575CD"/>
    <w:rsid w:val="00F81B2F"/>
    <w:rsid w:val="00F84BFC"/>
    <w:rsid w:val="00F87495"/>
    <w:rsid w:val="00F903DC"/>
    <w:rsid w:val="00FB255F"/>
    <w:rsid w:val="00FB36EF"/>
    <w:rsid w:val="00FB3AF1"/>
    <w:rsid w:val="00FC0EDC"/>
    <w:rsid w:val="00FC2870"/>
    <w:rsid w:val="00FC384B"/>
    <w:rsid w:val="00FC57A4"/>
    <w:rsid w:val="00FC6A94"/>
    <w:rsid w:val="00FD499D"/>
    <w:rsid w:val="00FE39F6"/>
    <w:rsid w:val="00FE4B4B"/>
    <w:rsid w:val="00FF0D71"/>
    <w:rsid w:val="00FF1E79"/>
    <w:rsid w:val="00FF2FFB"/>
    <w:rsid w:val="00FF4CD8"/>
    <w:rsid w:val="00FF6C27"/>
    <w:rsid w:val="00FF7FBD"/>
    <w:rsid w:val="019DA560"/>
    <w:rsid w:val="027FAD59"/>
    <w:rsid w:val="02A24898"/>
    <w:rsid w:val="03EB0519"/>
    <w:rsid w:val="0476F6C9"/>
    <w:rsid w:val="053CB23C"/>
    <w:rsid w:val="056E7C6A"/>
    <w:rsid w:val="0585B1C3"/>
    <w:rsid w:val="06740B58"/>
    <w:rsid w:val="0948A1F2"/>
    <w:rsid w:val="094CB47A"/>
    <w:rsid w:val="09FF5A81"/>
    <w:rsid w:val="0ADDA510"/>
    <w:rsid w:val="0B0A1808"/>
    <w:rsid w:val="0B442D14"/>
    <w:rsid w:val="0C46FFCF"/>
    <w:rsid w:val="0D2573BE"/>
    <w:rsid w:val="0E65F4E0"/>
    <w:rsid w:val="0F1827E3"/>
    <w:rsid w:val="0FEE00EF"/>
    <w:rsid w:val="1266EAC9"/>
    <w:rsid w:val="12915895"/>
    <w:rsid w:val="13823786"/>
    <w:rsid w:val="13F276CA"/>
    <w:rsid w:val="14F7878E"/>
    <w:rsid w:val="14FA51F3"/>
    <w:rsid w:val="164E867F"/>
    <w:rsid w:val="1719D7C4"/>
    <w:rsid w:val="172101B9"/>
    <w:rsid w:val="1868D6EE"/>
    <w:rsid w:val="192EC3B0"/>
    <w:rsid w:val="1946FD61"/>
    <w:rsid w:val="19970E7F"/>
    <w:rsid w:val="1B4477E8"/>
    <w:rsid w:val="1B71A3AB"/>
    <w:rsid w:val="1B78D8CA"/>
    <w:rsid w:val="1D65D571"/>
    <w:rsid w:val="1E28511B"/>
    <w:rsid w:val="1E840630"/>
    <w:rsid w:val="1F9F0636"/>
    <w:rsid w:val="1FC04E51"/>
    <w:rsid w:val="1FD9FA15"/>
    <w:rsid w:val="20739DEB"/>
    <w:rsid w:val="219CFA82"/>
    <w:rsid w:val="22D452A3"/>
    <w:rsid w:val="230D3176"/>
    <w:rsid w:val="2476BAF4"/>
    <w:rsid w:val="25526CBC"/>
    <w:rsid w:val="27C8D76B"/>
    <w:rsid w:val="2D28F93B"/>
    <w:rsid w:val="2DC34D0F"/>
    <w:rsid w:val="2E8B1937"/>
    <w:rsid w:val="2FA6E17E"/>
    <w:rsid w:val="305377DB"/>
    <w:rsid w:val="30F2061D"/>
    <w:rsid w:val="31028D9F"/>
    <w:rsid w:val="312ACFB7"/>
    <w:rsid w:val="322A3407"/>
    <w:rsid w:val="3297F417"/>
    <w:rsid w:val="32F81394"/>
    <w:rsid w:val="35B99848"/>
    <w:rsid w:val="36130767"/>
    <w:rsid w:val="36BE9612"/>
    <w:rsid w:val="37C7652B"/>
    <w:rsid w:val="37F5532F"/>
    <w:rsid w:val="3824A5A0"/>
    <w:rsid w:val="39018D9B"/>
    <w:rsid w:val="398E3D6B"/>
    <w:rsid w:val="3BDF5AE9"/>
    <w:rsid w:val="3CEC902D"/>
    <w:rsid w:val="3D33F807"/>
    <w:rsid w:val="3EE2DAEC"/>
    <w:rsid w:val="3FBB0BE4"/>
    <w:rsid w:val="4105D6A4"/>
    <w:rsid w:val="416BBC01"/>
    <w:rsid w:val="43619981"/>
    <w:rsid w:val="441371E1"/>
    <w:rsid w:val="45004D1F"/>
    <w:rsid w:val="455AF368"/>
    <w:rsid w:val="45FDEB65"/>
    <w:rsid w:val="4653CAD3"/>
    <w:rsid w:val="46630D6C"/>
    <w:rsid w:val="468DBE2E"/>
    <w:rsid w:val="46BBA1D1"/>
    <w:rsid w:val="47415C21"/>
    <w:rsid w:val="479D2BAC"/>
    <w:rsid w:val="49141253"/>
    <w:rsid w:val="491AC2BA"/>
    <w:rsid w:val="49A709F4"/>
    <w:rsid w:val="4A9F7927"/>
    <w:rsid w:val="4AACE268"/>
    <w:rsid w:val="4ACD9B01"/>
    <w:rsid w:val="4E2063B8"/>
    <w:rsid w:val="4F239E58"/>
    <w:rsid w:val="4F49874D"/>
    <w:rsid w:val="506A614B"/>
    <w:rsid w:val="506B8F40"/>
    <w:rsid w:val="508F4BE1"/>
    <w:rsid w:val="50F9465C"/>
    <w:rsid w:val="53634A26"/>
    <w:rsid w:val="53A66F1A"/>
    <w:rsid w:val="553DD26E"/>
    <w:rsid w:val="5542E03D"/>
    <w:rsid w:val="55A1487C"/>
    <w:rsid w:val="569A5D66"/>
    <w:rsid w:val="569FD5C4"/>
    <w:rsid w:val="57AAE839"/>
    <w:rsid w:val="59068EE3"/>
    <w:rsid w:val="59884DFF"/>
    <w:rsid w:val="5CDC574F"/>
    <w:rsid w:val="6407EC92"/>
    <w:rsid w:val="655E186A"/>
    <w:rsid w:val="661E5F68"/>
    <w:rsid w:val="6684C578"/>
    <w:rsid w:val="66EFD131"/>
    <w:rsid w:val="67B106FC"/>
    <w:rsid w:val="67E58C62"/>
    <w:rsid w:val="688CDCD9"/>
    <w:rsid w:val="68B27883"/>
    <w:rsid w:val="69094134"/>
    <w:rsid w:val="6A6D3230"/>
    <w:rsid w:val="6AC34A0A"/>
    <w:rsid w:val="6C48CF7C"/>
    <w:rsid w:val="6C8C977B"/>
    <w:rsid w:val="6D56AEB9"/>
    <w:rsid w:val="6D9AB19B"/>
    <w:rsid w:val="6EFAE316"/>
    <w:rsid w:val="6F93585F"/>
    <w:rsid w:val="707D8B1A"/>
    <w:rsid w:val="71F77FF7"/>
    <w:rsid w:val="725A723A"/>
    <w:rsid w:val="737ABCC1"/>
    <w:rsid w:val="74461D48"/>
    <w:rsid w:val="7497A960"/>
    <w:rsid w:val="761A5164"/>
    <w:rsid w:val="76334B7A"/>
    <w:rsid w:val="78E58D5B"/>
    <w:rsid w:val="7A815DBC"/>
    <w:rsid w:val="7BCD30C7"/>
    <w:rsid w:val="7C23E8D6"/>
    <w:rsid w:val="7D090772"/>
    <w:rsid w:val="7D0B075B"/>
    <w:rsid w:val="7F96940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1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D12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A11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F66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1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973"/>
    <w:rPr>
      <w:rFonts w:ascii="Segoe UI" w:hAnsi="Segoe UI" w:cs="Segoe UI"/>
      <w:sz w:val="18"/>
      <w:szCs w:val="18"/>
    </w:rPr>
  </w:style>
  <w:style w:type="paragraph" w:styleId="Encabezado">
    <w:name w:val="header"/>
    <w:basedOn w:val="Normal"/>
    <w:link w:val="EncabezadoCar"/>
    <w:uiPriority w:val="99"/>
    <w:unhideWhenUsed/>
    <w:rsid w:val="00531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973"/>
  </w:style>
  <w:style w:type="paragraph" w:styleId="Piedepgina">
    <w:name w:val="footer"/>
    <w:basedOn w:val="Normal"/>
    <w:link w:val="PiedepginaCar"/>
    <w:uiPriority w:val="99"/>
    <w:unhideWhenUsed/>
    <w:rsid w:val="00531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973"/>
  </w:style>
  <w:style w:type="character" w:customStyle="1" w:styleId="Ttulo1Car">
    <w:name w:val="Título 1 Car"/>
    <w:basedOn w:val="Fuentedeprrafopredeter"/>
    <w:link w:val="Ttulo1"/>
    <w:uiPriority w:val="9"/>
    <w:rsid w:val="00531973"/>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0D1279"/>
    <w:pPr>
      <w:spacing w:after="0" w:line="240" w:lineRule="auto"/>
    </w:pPr>
  </w:style>
  <w:style w:type="character" w:customStyle="1" w:styleId="Ttulo2Car">
    <w:name w:val="Título 2 Car"/>
    <w:basedOn w:val="Fuentedeprrafopredeter"/>
    <w:link w:val="Ttulo2"/>
    <w:uiPriority w:val="9"/>
    <w:rsid w:val="000D127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A11D5"/>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8E0FF0"/>
    <w:pPr>
      <w:ind w:left="720"/>
      <w:contextualSpacing/>
    </w:pPr>
  </w:style>
  <w:style w:type="character" w:styleId="Refdecomentario">
    <w:name w:val="annotation reference"/>
    <w:basedOn w:val="Fuentedeprrafopredeter"/>
    <w:uiPriority w:val="99"/>
    <w:semiHidden/>
    <w:unhideWhenUsed/>
    <w:rsid w:val="007F4CE4"/>
    <w:rPr>
      <w:sz w:val="16"/>
      <w:szCs w:val="16"/>
    </w:rPr>
  </w:style>
  <w:style w:type="paragraph" w:styleId="Textocomentario">
    <w:name w:val="annotation text"/>
    <w:basedOn w:val="Normal"/>
    <w:link w:val="TextocomentarioCar"/>
    <w:uiPriority w:val="99"/>
    <w:unhideWhenUsed/>
    <w:rsid w:val="007F4CE4"/>
    <w:pPr>
      <w:spacing w:line="240" w:lineRule="auto"/>
    </w:pPr>
    <w:rPr>
      <w:sz w:val="20"/>
      <w:szCs w:val="20"/>
    </w:rPr>
  </w:style>
  <w:style w:type="character" w:customStyle="1" w:styleId="TextocomentarioCar">
    <w:name w:val="Texto comentario Car"/>
    <w:basedOn w:val="Fuentedeprrafopredeter"/>
    <w:link w:val="Textocomentario"/>
    <w:uiPriority w:val="99"/>
    <w:rsid w:val="007F4CE4"/>
    <w:rPr>
      <w:sz w:val="20"/>
      <w:szCs w:val="20"/>
    </w:rPr>
  </w:style>
  <w:style w:type="paragraph" w:styleId="Asuntodelcomentario">
    <w:name w:val="annotation subject"/>
    <w:basedOn w:val="Textocomentario"/>
    <w:next w:val="Textocomentario"/>
    <w:link w:val="AsuntodelcomentarioCar"/>
    <w:uiPriority w:val="99"/>
    <w:semiHidden/>
    <w:unhideWhenUsed/>
    <w:rsid w:val="007F4CE4"/>
    <w:rPr>
      <w:b/>
      <w:bCs/>
    </w:rPr>
  </w:style>
  <w:style w:type="character" w:customStyle="1" w:styleId="AsuntodelcomentarioCar">
    <w:name w:val="Asunto del comentario Car"/>
    <w:basedOn w:val="TextocomentarioCar"/>
    <w:link w:val="Asuntodelcomentario"/>
    <w:uiPriority w:val="99"/>
    <w:semiHidden/>
    <w:rsid w:val="007F4CE4"/>
    <w:rPr>
      <w:b/>
      <w:bCs/>
      <w:sz w:val="20"/>
      <w:szCs w:val="20"/>
    </w:rPr>
  </w:style>
  <w:style w:type="paragraph" w:styleId="Textonotapie">
    <w:name w:val="footnote text"/>
    <w:basedOn w:val="Normal"/>
    <w:link w:val="TextonotapieCar"/>
    <w:uiPriority w:val="99"/>
    <w:semiHidden/>
    <w:unhideWhenUsed/>
    <w:rsid w:val="003322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221E"/>
    <w:rPr>
      <w:sz w:val="20"/>
      <w:szCs w:val="20"/>
    </w:rPr>
  </w:style>
  <w:style w:type="character" w:styleId="Refdenotaalpie">
    <w:name w:val="footnote reference"/>
    <w:basedOn w:val="Fuentedeprrafopredeter"/>
    <w:uiPriority w:val="99"/>
    <w:semiHidden/>
    <w:unhideWhenUsed/>
    <w:rsid w:val="0033221E"/>
    <w:rPr>
      <w:vertAlign w:val="superscript"/>
    </w:rPr>
  </w:style>
  <w:style w:type="table" w:styleId="Tablaconcuadrcula">
    <w:name w:val="Table Grid"/>
    <w:basedOn w:val="Tablanormal"/>
    <w:uiPriority w:val="39"/>
    <w:rsid w:val="008F2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1E4832"/>
    <w:pPr>
      <w:spacing w:after="0" w:line="240" w:lineRule="auto"/>
    </w:pPr>
    <w:rPr>
      <w:rFonts w:ascii="Calibri" w:hAnsi="Calibri"/>
      <w:szCs w:val="21"/>
      <w:lang w:val="es-AR"/>
    </w:rPr>
  </w:style>
  <w:style w:type="character" w:customStyle="1" w:styleId="TextosinformatoCar">
    <w:name w:val="Texto sin formato Car"/>
    <w:basedOn w:val="Fuentedeprrafopredeter"/>
    <w:link w:val="Textosinformato"/>
    <w:uiPriority w:val="99"/>
    <w:semiHidden/>
    <w:rsid w:val="001E4832"/>
    <w:rPr>
      <w:rFonts w:ascii="Calibri" w:hAnsi="Calibri"/>
      <w:szCs w:val="21"/>
      <w:lang w:val="es-AR"/>
    </w:rPr>
  </w:style>
  <w:style w:type="character" w:customStyle="1" w:styleId="Ttulo4Car">
    <w:name w:val="Título 4 Car"/>
    <w:basedOn w:val="Fuentedeprrafopredeter"/>
    <w:link w:val="Ttulo4"/>
    <w:uiPriority w:val="9"/>
    <w:rsid w:val="00DF669E"/>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1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D12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A11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F66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1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973"/>
    <w:rPr>
      <w:rFonts w:ascii="Segoe UI" w:hAnsi="Segoe UI" w:cs="Segoe UI"/>
      <w:sz w:val="18"/>
      <w:szCs w:val="18"/>
    </w:rPr>
  </w:style>
  <w:style w:type="paragraph" w:styleId="Encabezado">
    <w:name w:val="header"/>
    <w:basedOn w:val="Normal"/>
    <w:link w:val="EncabezadoCar"/>
    <w:uiPriority w:val="99"/>
    <w:unhideWhenUsed/>
    <w:rsid w:val="00531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973"/>
  </w:style>
  <w:style w:type="paragraph" w:styleId="Piedepgina">
    <w:name w:val="footer"/>
    <w:basedOn w:val="Normal"/>
    <w:link w:val="PiedepginaCar"/>
    <w:uiPriority w:val="99"/>
    <w:unhideWhenUsed/>
    <w:rsid w:val="00531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973"/>
  </w:style>
  <w:style w:type="character" w:customStyle="1" w:styleId="Ttulo1Car">
    <w:name w:val="Título 1 Car"/>
    <w:basedOn w:val="Fuentedeprrafopredeter"/>
    <w:link w:val="Ttulo1"/>
    <w:uiPriority w:val="9"/>
    <w:rsid w:val="00531973"/>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0D1279"/>
    <w:pPr>
      <w:spacing w:after="0" w:line="240" w:lineRule="auto"/>
    </w:pPr>
  </w:style>
  <w:style w:type="character" w:customStyle="1" w:styleId="Ttulo2Car">
    <w:name w:val="Título 2 Car"/>
    <w:basedOn w:val="Fuentedeprrafopredeter"/>
    <w:link w:val="Ttulo2"/>
    <w:uiPriority w:val="9"/>
    <w:rsid w:val="000D127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A11D5"/>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8E0FF0"/>
    <w:pPr>
      <w:ind w:left="720"/>
      <w:contextualSpacing/>
    </w:pPr>
  </w:style>
  <w:style w:type="character" w:styleId="Refdecomentario">
    <w:name w:val="annotation reference"/>
    <w:basedOn w:val="Fuentedeprrafopredeter"/>
    <w:uiPriority w:val="99"/>
    <w:semiHidden/>
    <w:unhideWhenUsed/>
    <w:rsid w:val="007F4CE4"/>
    <w:rPr>
      <w:sz w:val="16"/>
      <w:szCs w:val="16"/>
    </w:rPr>
  </w:style>
  <w:style w:type="paragraph" w:styleId="Textocomentario">
    <w:name w:val="annotation text"/>
    <w:basedOn w:val="Normal"/>
    <w:link w:val="TextocomentarioCar"/>
    <w:uiPriority w:val="99"/>
    <w:unhideWhenUsed/>
    <w:rsid w:val="007F4CE4"/>
    <w:pPr>
      <w:spacing w:line="240" w:lineRule="auto"/>
    </w:pPr>
    <w:rPr>
      <w:sz w:val="20"/>
      <w:szCs w:val="20"/>
    </w:rPr>
  </w:style>
  <w:style w:type="character" w:customStyle="1" w:styleId="TextocomentarioCar">
    <w:name w:val="Texto comentario Car"/>
    <w:basedOn w:val="Fuentedeprrafopredeter"/>
    <w:link w:val="Textocomentario"/>
    <w:uiPriority w:val="99"/>
    <w:rsid w:val="007F4CE4"/>
    <w:rPr>
      <w:sz w:val="20"/>
      <w:szCs w:val="20"/>
    </w:rPr>
  </w:style>
  <w:style w:type="paragraph" w:styleId="Asuntodelcomentario">
    <w:name w:val="annotation subject"/>
    <w:basedOn w:val="Textocomentario"/>
    <w:next w:val="Textocomentario"/>
    <w:link w:val="AsuntodelcomentarioCar"/>
    <w:uiPriority w:val="99"/>
    <w:semiHidden/>
    <w:unhideWhenUsed/>
    <w:rsid w:val="007F4CE4"/>
    <w:rPr>
      <w:b/>
      <w:bCs/>
    </w:rPr>
  </w:style>
  <w:style w:type="character" w:customStyle="1" w:styleId="AsuntodelcomentarioCar">
    <w:name w:val="Asunto del comentario Car"/>
    <w:basedOn w:val="TextocomentarioCar"/>
    <w:link w:val="Asuntodelcomentario"/>
    <w:uiPriority w:val="99"/>
    <w:semiHidden/>
    <w:rsid w:val="007F4CE4"/>
    <w:rPr>
      <w:b/>
      <w:bCs/>
      <w:sz w:val="20"/>
      <w:szCs w:val="20"/>
    </w:rPr>
  </w:style>
  <w:style w:type="paragraph" w:styleId="Textonotapie">
    <w:name w:val="footnote text"/>
    <w:basedOn w:val="Normal"/>
    <w:link w:val="TextonotapieCar"/>
    <w:uiPriority w:val="99"/>
    <w:semiHidden/>
    <w:unhideWhenUsed/>
    <w:rsid w:val="003322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221E"/>
    <w:rPr>
      <w:sz w:val="20"/>
      <w:szCs w:val="20"/>
    </w:rPr>
  </w:style>
  <w:style w:type="character" w:styleId="Refdenotaalpie">
    <w:name w:val="footnote reference"/>
    <w:basedOn w:val="Fuentedeprrafopredeter"/>
    <w:uiPriority w:val="99"/>
    <w:semiHidden/>
    <w:unhideWhenUsed/>
    <w:rsid w:val="0033221E"/>
    <w:rPr>
      <w:vertAlign w:val="superscript"/>
    </w:rPr>
  </w:style>
  <w:style w:type="table" w:styleId="Tablaconcuadrcula">
    <w:name w:val="Table Grid"/>
    <w:basedOn w:val="Tablanormal"/>
    <w:uiPriority w:val="39"/>
    <w:rsid w:val="008F2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1E4832"/>
    <w:pPr>
      <w:spacing w:after="0" w:line="240" w:lineRule="auto"/>
    </w:pPr>
    <w:rPr>
      <w:rFonts w:ascii="Calibri" w:hAnsi="Calibri"/>
      <w:szCs w:val="21"/>
      <w:lang w:val="es-AR"/>
    </w:rPr>
  </w:style>
  <w:style w:type="character" w:customStyle="1" w:styleId="TextosinformatoCar">
    <w:name w:val="Texto sin formato Car"/>
    <w:basedOn w:val="Fuentedeprrafopredeter"/>
    <w:link w:val="Textosinformato"/>
    <w:uiPriority w:val="99"/>
    <w:semiHidden/>
    <w:rsid w:val="001E4832"/>
    <w:rPr>
      <w:rFonts w:ascii="Calibri" w:hAnsi="Calibri"/>
      <w:szCs w:val="21"/>
      <w:lang w:val="es-AR"/>
    </w:rPr>
  </w:style>
  <w:style w:type="character" w:customStyle="1" w:styleId="Ttulo4Car">
    <w:name w:val="Título 4 Car"/>
    <w:basedOn w:val="Fuentedeprrafopredeter"/>
    <w:link w:val="Ttulo4"/>
    <w:uiPriority w:val="9"/>
    <w:rsid w:val="00DF669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3815">
      <w:bodyDiv w:val="1"/>
      <w:marLeft w:val="0"/>
      <w:marRight w:val="0"/>
      <w:marTop w:val="0"/>
      <w:marBottom w:val="0"/>
      <w:divBdr>
        <w:top w:val="none" w:sz="0" w:space="0" w:color="auto"/>
        <w:left w:val="none" w:sz="0" w:space="0" w:color="auto"/>
        <w:bottom w:val="none" w:sz="0" w:space="0" w:color="auto"/>
        <w:right w:val="none" w:sz="0" w:space="0" w:color="auto"/>
      </w:divBdr>
    </w:div>
    <w:div w:id="350301831">
      <w:bodyDiv w:val="1"/>
      <w:marLeft w:val="0"/>
      <w:marRight w:val="0"/>
      <w:marTop w:val="0"/>
      <w:marBottom w:val="0"/>
      <w:divBdr>
        <w:top w:val="none" w:sz="0" w:space="0" w:color="auto"/>
        <w:left w:val="none" w:sz="0" w:space="0" w:color="auto"/>
        <w:bottom w:val="none" w:sz="0" w:space="0" w:color="auto"/>
        <w:right w:val="none" w:sz="0" w:space="0" w:color="auto"/>
      </w:divBdr>
    </w:div>
    <w:div w:id="831915867">
      <w:bodyDiv w:val="1"/>
      <w:marLeft w:val="0"/>
      <w:marRight w:val="0"/>
      <w:marTop w:val="0"/>
      <w:marBottom w:val="0"/>
      <w:divBdr>
        <w:top w:val="none" w:sz="0" w:space="0" w:color="auto"/>
        <w:left w:val="none" w:sz="0" w:space="0" w:color="auto"/>
        <w:bottom w:val="none" w:sz="0" w:space="0" w:color="auto"/>
        <w:right w:val="none" w:sz="0" w:space="0" w:color="auto"/>
      </w:divBdr>
    </w:div>
    <w:div w:id="846602200">
      <w:bodyDiv w:val="1"/>
      <w:marLeft w:val="0"/>
      <w:marRight w:val="0"/>
      <w:marTop w:val="0"/>
      <w:marBottom w:val="0"/>
      <w:divBdr>
        <w:top w:val="none" w:sz="0" w:space="0" w:color="auto"/>
        <w:left w:val="none" w:sz="0" w:space="0" w:color="auto"/>
        <w:bottom w:val="none" w:sz="0" w:space="0" w:color="auto"/>
        <w:right w:val="none" w:sz="0" w:space="0" w:color="auto"/>
      </w:divBdr>
    </w:div>
    <w:div w:id="916287630">
      <w:bodyDiv w:val="1"/>
      <w:marLeft w:val="0"/>
      <w:marRight w:val="0"/>
      <w:marTop w:val="0"/>
      <w:marBottom w:val="0"/>
      <w:divBdr>
        <w:top w:val="none" w:sz="0" w:space="0" w:color="auto"/>
        <w:left w:val="none" w:sz="0" w:space="0" w:color="auto"/>
        <w:bottom w:val="none" w:sz="0" w:space="0" w:color="auto"/>
        <w:right w:val="none" w:sz="0" w:space="0" w:color="auto"/>
      </w:divBdr>
    </w:div>
    <w:div w:id="1151210049">
      <w:bodyDiv w:val="1"/>
      <w:marLeft w:val="0"/>
      <w:marRight w:val="0"/>
      <w:marTop w:val="0"/>
      <w:marBottom w:val="0"/>
      <w:divBdr>
        <w:top w:val="none" w:sz="0" w:space="0" w:color="auto"/>
        <w:left w:val="none" w:sz="0" w:space="0" w:color="auto"/>
        <w:bottom w:val="none" w:sz="0" w:space="0" w:color="auto"/>
        <w:right w:val="none" w:sz="0" w:space="0" w:color="auto"/>
      </w:divBdr>
    </w:div>
    <w:div w:id="1223373659">
      <w:bodyDiv w:val="1"/>
      <w:marLeft w:val="0"/>
      <w:marRight w:val="0"/>
      <w:marTop w:val="0"/>
      <w:marBottom w:val="0"/>
      <w:divBdr>
        <w:top w:val="none" w:sz="0" w:space="0" w:color="auto"/>
        <w:left w:val="none" w:sz="0" w:space="0" w:color="auto"/>
        <w:bottom w:val="none" w:sz="0" w:space="0" w:color="auto"/>
        <w:right w:val="none" w:sz="0" w:space="0" w:color="auto"/>
      </w:divBdr>
    </w:div>
    <w:div w:id="1651251909">
      <w:bodyDiv w:val="1"/>
      <w:marLeft w:val="0"/>
      <w:marRight w:val="0"/>
      <w:marTop w:val="0"/>
      <w:marBottom w:val="0"/>
      <w:divBdr>
        <w:top w:val="none" w:sz="0" w:space="0" w:color="auto"/>
        <w:left w:val="none" w:sz="0" w:space="0" w:color="auto"/>
        <w:bottom w:val="none" w:sz="0" w:space="0" w:color="auto"/>
        <w:right w:val="none" w:sz="0" w:space="0" w:color="auto"/>
      </w:divBdr>
    </w:div>
    <w:div w:id="1674532389">
      <w:bodyDiv w:val="1"/>
      <w:marLeft w:val="0"/>
      <w:marRight w:val="0"/>
      <w:marTop w:val="0"/>
      <w:marBottom w:val="0"/>
      <w:divBdr>
        <w:top w:val="none" w:sz="0" w:space="0" w:color="auto"/>
        <w:left w:val="none" w:sz="0" w:space="0" w:color="auto"/>
        <w:bottom w:val="none" w:sz="0" w:space="0" w:color="auto"/>
        <w:right w:val="none" w:sz="0" w:space="0" w:color="auto"/>
      </w:divBdr>
    </w:div>
    <w:div w:id="1802457247">
      <w:bodyDiv w:val="1"/>
      <w:marLeft w:val="0"/>
      <w:marRight w:val="0"/>
      <w:marTop w:val="0"/>
      <w:marBottom w:val="0"/>
      <w:divBdr>
        <w:top w:val="none" w:sz="0" w:space="0" w:color="auto"/>
        <w:left w:val="none" w:sz="0" w:space="0" w:color="auto"/>
        <w:bottom w:val="none" w:sz="0" w:space="0" w:color="auto"/>
        <w:right w:val="none" w:sz="0" w:space="0" w:color="auto"/>
      </w:divBdr>
    </w:div>
    <w:div w:id="20853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Y12933\Desktop\Plan%20Dia%20D\VAN%20Plan%20Gas\Informe%20Plan%20Gas%20YPF\tablas%20finales%2014feb\Tablas_graficos_capex_opex_PlanG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Y12933\Desktop\Plan%20Dia%20D\VAN%20Plan%20Gas\Informe%20Plan%20Gas%20YPF\tablas%20finales%2014feb\Tablas_graficos_capex_opex_PlanG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Y12933\Desktop\Plan%20Dia%20D\VAN%20Plan%20Gas\Informe%20Plan%20Gas%20YPF\tablas%20finales%2014feb\Tablas_graficos_capex_opex_PlanG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Y12933\AppData\Local\Microsoft\Windows\INetCache\Content.Outlook\T54L09JL\Gr&#225;ficos%20Plan%20G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Capex + Opex asociado a Plan Gas</a:t>
            </a:r>
          </a:p>
          <a:p>
            <a:pPr>
              <a:defRPr sz="1400" b="0" i="0" u="none" strike="noStrike" kern="1200" spc="0" baseline="0">
                <a:solidFill>
                  <a:schemeClr val="tx1">
                    <a:lumMod val="65000"/>
                    <a:lumOff val="35000"/>
                  </a:schemeClr>
                </a:solidFill>
                <a:latin typeface="+mn-lt"/>
                <a:ea typeface="+mn-ea"/>
                <a:cs typeface="+mn-cs"/>
              </a:defRPr>
            </a:pPr>
            <a:r>
              <a:rPr lang="es-AR" sz="1100"/>
              <a:t>(Millones de USD)</a:t>
            </a:r>
            <a:endParaRPr lang="es-AR"/>
          </a:p>
        </c:rich>
      </c:tx>
      <c:overlay val="0"/>
      <c:spPr>
        <a:noFill/>
        <a:ln>
          <a:noFill/>
        </a:ln>
        <a:effectLst/>
      </c:spPr>
    </c:title>
    <c:autoTitleDeleted val="0"/>
    <c:plotArea>
      <c:layout>
        <c:manualLayout>
          <c:layoutTarget val="inner"/>
          <c:xMode val="edge"/>
          <c:yMode val="edge"/>
          <c:x val="7.9247594050743664E-2"/>
          <c:y val="0.21074074074074073"/>
          <c:w val="0.89019685039370078"/>
          <c:h val="0.59447506561679786"/>
        </c:manualLayout>
      </c:layout>
      <c:barChart>
        <c:barDir val="col"/>
        <c:grouping val="stacked"/>
        <c:varyColors val="0"/>
        <c:ser>
          <c:idx val="0"/>
          <c:order val="0"/>
          <c:tx>
            <c:strRef>
              <c:f>Hoja1!$C$2</c:f>
              <c:strCache>
                <c:ptCount val="1"/>
                <c:pt idx="0">
                  <c:v>Capex</c:v>
                </c:pt>
              </c:strCache>
            </c:strRef>
          </c:tx>
          <c:spPr>
            <a:solidFill>
              <a:schemeClr val="accent1"/>
            </a:solidFill>
            <a:ln>
              <a:noFill/>
            </a:ln>
            <a:effectLst/>
          </c:spPr>
          <c:invertIfNegative val="0"/>
          <c:cat>
            <c:strRef>
              <c:f>Hoja1!$B$3:$B$7</c:f>
              <c:strCache>
                <c:ptCount val="5"/>
                <c:pt idx="0">
                  <c:v>Q4-2020</c:v>
                </c:pt>
                <c:pt idx="1">
                  <c:v>2021</c:v>
                </c:pt>
                <c:pt idx="2">
                  <c:v>2022</c:v>
                </c:pt>
                <c:pt idx="3">
                  <c:v>2023</c:v>
                </c:pt>
                <c:pt idx="4">
                  <c:v>2024</c:v>
                </c:pt>
              </c:strCache>
            </c:strRef>
          </c:cat>
          <c:val>
            <c:numRef>
              <c:f>Hoja1!$C$3:$C$7</c:f>
              <c:numCache>
                <c:formatCode>General</c:formatCode>
                <c:ptCount val="5"/>
                <c:pt idx="0">
                  <c:v>75</c:v>
                </c:pt>
                <c:pt idx="1">
                  <c:v>459.8</c:v>
                </c:pt>
                <c:pt idx="2">
                  <c:v>370</c:v>
                </c:pt>
                <c:pt idx="3">
                  <c:v>476.4</c:v>
                </c:pt>
                <c:pt idx="4">
                  <c:v>409.8</c:v>
                </c:pt>
              </c:numCache>
            </c:numRef>
          </c:val>
          <c:extLst xmlns:c16r2="http://schemas.microsoft.com/office/drawing/2015/06/chart">
            <c:ext xmlns:c16="http://schemas.microsoft.com/office/drawing/2014/chart" uri="{C3380CC4-5D6E-409C-BE32-E72D297353CC}">
              <c16:uniqueId val="{00000000-9D36-4977-91C5-E8B8956C4DF8}"/>
            </c:ext>
          </c:extLst>
        </c:ser>
        <c:ser>
          <c:idx val="1"/>
          <c:order val="1"/>
          <c:tx>
            <c:strRef>
              <c:f>Hoja1!$D$2</c:f>
              <c:strCache>
                <c:ptCount val="1"/>
                <c:pt idx="0">
                  <c:v>Opex</c:v>
                </c:pt>
              </c:strCache>
            </c:strRef>
          </c:tx>
          <c:spPr>
            <a:solidFill>
              <a:schemeClr val="accent2"/>
            </a:solidFill>
            <a:ln>
              <a:noFill/>
            </a:ln>
            <a:effectLst/>
          </c:spPr>
          <c:invertIfNegative val="0"/>
          <c:cat>
            <c:strRef>
              <c:f>Hoja1!$B$3:$B$7</c:f>
              <c:strCache>
                <c:ptCount val="5"/>
                <c:pt idx="0">
                  <c:v>Q4-2020</c:v>
                </c:pt>
                <c:pt idx="1">
                  <c:v>2021</c:v>
                </c:pt>
                <c:pt idx="2">
                  <c:v>2022</c:v>
                </c:pt>
                <c:pt idx="3">
                  <c:v>2023</c:v>
                </c:pt>
                <c:pt idx="4">
                  <c:v>2024</c:v>
                </c:pt>
              </c:strCache>
            </c:strRef>
          </c:cat>
          <c:val>
            <c:numRef>
              <c:f>Hoja1!$D$3:$D$7</c:f>
              <c:numCache>
                <c:formatCode>General</c:formatCode>
                <c:ptCount val="5"/>
                <c:pt idx="0">
                  <c:v>0.6</c:v>
                </c:pt>
                <c:pt idx="1">
                  <c:v>61.9</c:v>
                </c:pt>
                <c:pt idx="2">
                  <c:v>108.2</c:v>
                </c:pt>
                <c:pt idx="3">
                  <c:v>140.5</c:v>
                </c:pt>
                <c:pt idx="4">
                  <c:v>168.6</c:v>
                </c:pt>
              </c:numCache>
            </c:numRef>
          </c:val>
          <c:extLst xmlns:c16r2="http://schemas.microsoft.com/office/drawing/2015/06/chart">
            <c:ext xmlns:c16="http://schemas.microsoft.com/office/drawing/2014/chart" uri="{C3380CC4-5D6E-409C-BE32-E72D297353CC}">
              <c16:uniqueId val="{00000001-9D36-4977-91C5-E8B8956C4DF8}"/>
            </c:ext>
          </c:extLst>
        </c:ser>
        <c:dLbls>
          <c:showLegendKey val="0"/>
          <c:showVal val="0"/>
          <c:showCatName val="0"/>
          <c:showSerName val="0"/>
          <c:showPercent val="0"/>
          <c:showBubbleSize val="0"/>
        </c:dLbls>
        <c:gapWidth val="150"/>
        <c:overlap val="100"/>
        <c:axId val="153663360"/>
        <c:axId val="153664896"/>
      </c:barChart>
      <c:catAx>
        <c:axId val="15366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3664896"/>
        <c:crosses val="autoZero"/>
        <c:auto val="1"/>
        <c:lblAlgn val="ctr"/>
        <c:lblOffset val="100"/>
        <c:noMultiLvlLbl val="0"/>
      </c:catAx>
      <c:valAx>
        <c:axId val="15366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366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Distribución del Capex Pozo según Tipo de Empresa</a:t>
            </a:r>
          </a:p>
        </c:rich>
      </c:tx>
      <c:overlay val="0"/>
      <c:spPr>
        <a:noFill/>
        <a:ln>
          <a:noFill/>
        </a:ln>
        <a:effectLst/>
      </c:spPr>
    </c:title>
    <c:autoTitleDeleted val="0"/>
    <c:plotArea>
      <c:layout/>
      <c:barChart>
        <c:barDir val="col"/>
        <c:grouping val="percentStacked"/>
        <c:varyColors val="0"/>
        <c:ser>
          <c:idx val="0"/>
          <c:order val="0"/>
          <c:tx>
            <c:strRef>
              <c:f>'PBK21 (v2)'!$F$5</c:f>
              <c:strCache>
                <c:ptCount val="1"/>
                <c:pt idx="0">
                  <c:v>Compañía Internacional</c:v>
                </c:pt>
              </c:strCache>
            </c:strRef>
          </c:tx>
          <c:spPr>
            <a:solidFill>
              <a:schemeClr val="accent1"/>
            </a:solidFill>
            <a:ln>
              <a:noFill/>
            </a:ln>
            <a:effectLst/>
          </c:spPr>
          <c:invertIfNegative val="0"/>
          <c:cat>
            <c:strRef>
              <c:f>'PBK21 (v2)'!$C$6:$C$10</c:f>
              <c:strCache>
                <c:ptCount val="5"/>
                <c:pt idx="1">
                  <c:v>Armado de locaciones</c:v>
                </c:pt>
                <c:pt idx="2">
                  <c:v>Perforación</c:v>
                </c:pt>
                <c:pt idx="3">
                  <c:v>Terminación</c:v>
                </c:pt>
                <c:pt idx="4">
                  <c:v>BIF + SP</c:v>
                </c:pt>
              </c:strCache>
            </c:strRef>
          </c:cat>
          <c:val>
            <c:numRef>
              <c:f>'PBK21 (v2)'!$F$6:$F$10</c:f>
              <c:numCache>
                <c:formatCode>0%</c:formatCode>
                <c:ptCount val="5"/>
                <c:pt idx="0">
                  <c:v>0.64495256343639573</c:v>
                </c:pt>
                <c:pt idx="1">
                  <c:v>0</c:v>
                </c:pt>
                <c:pt idx="2">
                  <c:v>0.72213137642091363</c:v>
                </c:pt>
                <c:pt idx="3">
                  <c:v>0.56206743140324711</c:v>
                </c:pt>
                <c:pt idx="4">
                  <c:v>0.80190603919695025</c:v>
                </c:pt>
              </c:numCache>
            </c:numRef>
          </c:val>
          <c:extLst xmlns:c16r2="http://schemas.microsoft.com/office/drawing/2015/06/chart">
            <c:ext xmlns:c16="http://schemas.microsoft.com/office/drawing/2014/chart" uri="{C3380CC4-5D6E-409C-BE32-E72D297353CC}">
              <c16:uniqueId val="{00000000-85C3-4177-8F19-6AA366535FF8}"/>
            </c:ext>
          </c:extLst>
        </c:ser>
        <c:ser>
          <c:idx val="1"/>
          <c:order val="1"/>
          <c:tx>
            <c:strRef>
              <c:f>'PBK21 (v2)'!$G$5</c:f>
              <c:strCache>
                <c:ptCount val="1"/>
                <c:pt idx="0">
                  <c:v>Compañía Local</c:v>
                </c:pt>
              </c:strCache>
            </c:strRef>
          </c:tx>
          <c:spPr>
            <a:solidFill>
              <a:schemeClr val="accent2"/>
            </a:solidFill>
            <a:ln>
              <a:noFill/>
            </a:ln>
            <a:effectLst/>
          </c:spPr>
          <c:invertIfNegative val="0"/>
          <c:cat>
            <c:strRef>
              <c:f>'PBK21 (v2)'!$C$6:$C$10</c:f>
              <c:strCache>
                <c:ptCount val="5"/>
                <c:pt idx="1">
                  <c:v>Armado de locaciones</c:v>
                </c:pt>
                <c:pt idx="2">
                  <c:v>Perforación</c:v>
                </c:pt>
                <c:pt idx="3">
                  <c:v>Terminación</c:v>
                </c:pt>
                <c:pt idx="4">
                  <c:v>BIF + SP</c:v>
                </c:pt>
              </c:strCache>
            </c:strRef>
          </c:cat>
          <c:val>
            <c:numRef>
              <c:f>'PBK21 (v2)'!$G$6:$G$10</c:f>
              <c:numCache>
                <c:formatCode>0%</c:formatCode>
                <c:ptCount val="5"/>
                <c:pt idx="0">
                  <c:v>6.7693284416811356E-2</c:v>
                </c:pt>
                <c:pt idx="1">
                  <c:v>2.0342092014605788E-2</c:v>
                </c:pt>
                <c:pt idx="2">
                  <c:v>4.2741856251132852E-2</c:v>
                </c:pt>
                <c:pt idx="3">
                  <c:v>8.4919621726213493E-2</c:v>
                </c:pt>
                <c:pt idx="4">
                  <c:v>0.15317453078991081</c:v>
                </c:pt>
              </c:numCache>
            </c:numRef>
          </c:val>
          <c:extLst xmlns:c16r2="http://schemas.microsoft.com/office/drawing/2015/06/chart">
            <c:ext xmlns:c16="http://schemas.microsoft.com/office/drawing/2014/chart" uri="{C3380CC4-5D6E-409C-BE32-E72D297353CC}">
              <c16:uniqueId val="{00000001-85C3-4177-8F19-6AA366535FF8}"/>
            </c:ext>
          </c:extLst>
        </c:ser>
        <c:ser>
          <c:idx val="2"/>
          <c:order val="2"/>
          <c:tx>
            <c:strRef>
              <c:f>'PBK21 (v2)'!$H$5</c:f>
              <c:strCache>
                <c:ptCount val="1"/>
                <c:pt idx="0">
                  <c:v>Compañía Nacional</c:v>
                </c:pt>
              </c:strCache>
            </c:strRef>
          </c:tx>
          <c:spPr>
            <a:solidFill>
              <a:schemeClr val="accent3"/>
            </a:solidFill>
            <a:ln>
              <a:noFill/>
            </a:ln>
            <a:effectLst/>
          </c:spPr>
          <c:invertIfNegative val="0"/>
          <c:cat>
            <c:strRef>
              <c:f>'PBK21 (v2)'!$C$6:$C$10</c:f>
              <c:strCache>
                <c:ptCount val="5"/>
                <c:pt idx="1">
                  <c:v>Armado de locaciones</c:v>
                </c:pt>
                <c:pt idx="2">
                  <c:v>Perforación</c:v>
                </c:pt>
                <c:pt idx="3">
                  <c:v>Terminación</c:v>
                </c:pt>
                <c:pt idx="4">
                  <c:v>BIF + SP</c:v>
                </c:pt>
              </c:strCache>
            </c:strRef>
          </c:cat>
          <c:val>
            <c:numRef>
              <c:f>'PBK21 (v2)'!$H$6:$H$10</c:f>
              <c:numCache>
                <c:formatCode>0%</c:formatCode>
                <c:ptCount val="5"/>
                <c:pt idx="0">
                  <c:v>0.28055736371693751</c:v>
                </c:pt>
                <c:pt idx="1">
                  <c:v>0.79536546807215358</c:v>
                </c:pt>
                <c:pt idx="2">
                  <c:v>0.23406042206636715</c:v>
                </c:pt>
                <c:pt idx="3">
                  <c:v>0.34172775822577234</c:v>
                </c:pt>
                <c:pt idx="4">
                  <c:v>4.4919430013138917E-2</c:v>
                </c:pt>
              </c:numCache>
            </c:numRef>
          </c:val>
          <c:extLst xmlns:c16r2="http://schemas.microsoft.com/office/drawing/2015/06/chart">
            <c:ext xmlns:c16="http://schemas.microsoft.com/office/drawing/2014/chart" uri="{C3380CC4-5D6E-409C-BE32-E72D297353CC}">
              <c16:uniqueId val="{00000002-85C3-4177-8F19-6AA366535FF8}"/>
            </c:ext>
          </c:extLst>
        </c:ser>
        <c:ser>
          <c:idx val="3"/>
          <c:order val="3"/>
          <c:tx>
            <c:strRef>
              <c:f>'PBK21 (v2)'!$I$5</c:f>
              <c:strCache>
                <c:ptCount val="1"/>
                <c:pt idx="0">
                  <c:v>Compañía Regional</c:v>
                </c:pt>
              </c:strCache>
            </c:strRef>
          </c:tx>
          <c:spPr>
            <a:solidFill>
              <a:schemeClr val="accent4"/>
            </a:solidFill>
            <a:ln>
              <a:noFill/>
            </a:ln>
            <a:effectLst/>
          </c:spPr>
          <c:invertIfNegative val="0"/>
          <c:cat>
            <c:strRef>
              <c:f>'PBK21 (v2)'!$C$6:$C$10</c:f>
              <c:strCache>
                <c:ptCount val="5"/>
                <c:pt idx="1">
                  <c:v>Armado de locaciones</c:v>
                </c:pt>
                <c:pt idx="2">
                  <c:v>Perforación</c:v>
                </c:pt>
                <c:pt idx="3">
                  <c:v>Terminación</c:v>
                </c:pt>
                <c:pt idx="4">
                  <c:v>BIF + SP</c:v>
                </c:pt>
              </c:strCache>
            </c:strRef>
          </c:cat>
          <c:val>
            <c:numRef>
              <c:f>'PBK21 (v2)'!$I$6:$I$10</c:f>
              <c:numCache>
                <c:formatCode>0%</c:formatCode>
                <c:ptCount val="5"/>
                <c:pt idx="0">
                  <c:v>6.7967884298553265E-3</c:v>
                </c:pt>
                <c:pt idx="1">
                  <c:v>0.18429243991324076</c:v>
                </c:pt>
                <c:pt idx="2">
                  <c:v>1.0663452615863949E-3</c:v>
                </c:pt>
                <c:pt idx="3">
                  <c:v>1.1285188644767097E-2</c:v>
                </c:pt>
                <c:pt idx="4">
                  <c:v>0</c:v>
                </c:pt>
              </c:numCache>
            </c:numRef>
          </c:val>
          <c:extLst xmlns:c16r2="http://schemas.microsoft.com/office/drawing/2015/06/chart">
            <c:ext xmlns:c16="http://schemas.microsoft.com/office/drawing/2014/chart" uri="{C3380CC4-5D6E-409C-BE32-E72D297353CC}">
              <c16:uniqueId val="{00000003-85C3-4177-8F19-6AA366535FF8}"/>
            </c:ext>
          </c:extLst>
        </c:ser>
        <c:dLbls>
          <c:showLegendKey val="0"/>
          <c:showVal val="0"/>
          <c:showCatName val="0"/>
          <c:showSerName val="0"/>
          <c:showPercent val="0"/>
          <c:showBubbleSize val="0"/>
        </c:dLbls>
        <c:gapWidth val="150"/>
        <c:overlap val="100"/>
        <c:axId val="154029056"/>
        <c:axId val="154031616"/>
        <c:extLst xmlns:c16r2="http://schemas.microsoft.com/office/drawing/2015/06/chart">
          <c:ext xmlns:c15="http://schemas.microsoft.com/office/drawing/2012/chart" uri="{02D57815-91ED-43cb-92C2-25804820EDAC}">
            <c15:filteredBarSeries>
              <c15:ser>
                <c:idx val="4"/>
                <c:order val="4"/>
                <c:tx>
                  <c:strRef>
                    <c:extLst>
                      <c:ext uri="{02D57815-91ED-43cb-92C2-25804820EDAC}">
                        <c15:formulaRef>
                          <c15:sqref>'PBK21 (v2)'!$J$5</c15:sqref>
                        </c15:formulaRef>
                      </c:ext>
                    </c:extLst>
                    <c:strCache>
                      <c:ptCount val="1"/>
                      <c:pt idx="0">
                        <c:v>Grupo YPF</c:v>
                      </c:pt>
                    </c:strCache>
                  </c:strRef>
                </c:tx>
                <c:spPr>
                  <a:solidFill>
                    <a:schemeClr val="accent5"/>
                  </a:solidFill>
                  <a:ln>
                    <a:noFill/>
                  </a:ln>
                  <a:effectLst/>
                </c:spPr>
                <c:invertIfNegative val="0"/>
                <c:cat>
                  <c:strRef>
                    <c:extLst>
                      <c:ext uri="{02D57815-91ED-43cb-92C2-25804820EDAC}">
                        <c15:formulaRef>
                          <c15:sqref>'PBK21 (v2)'!$C$6:$C$10</c15:sqref>
                        </c15:formulaRef>
                      </c:ext>
                    </c:extLst>
                    <c:strCache>
                      <c:ptCount val="5"/>
                      <c:pt idx="1">
                        <c:v>Armado de locaciones</c:v>
                      </c:pt>
                      <c:pt idx="2">
                        <c:v>Perforación</c:v>
                      </c:pt>
                      <c:pt idx="3">
                        <c:v>Terminación</c:v>
                      </c:pt>
                      <c:pt idx="4">
                        <c:v>BIF + SP</c:v>
                      </c:pt>
                    </c:strCache>
                  </c:strRef>
                </c:cat>
                <c:val>
                  <c:numRef>
                    <c:extLst>
                      <c:ext uri="{02D57815-91ED-43cb-92C2-25804820EDAC}">
                        <c15:formulaRef>
                          <c15:sqref>'PBK21 (v2)'!$J$6:$J$10</c15:sqref>
                        </c15:formulaRef>
                      </c:ext>
                    </c:extLst>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4-85C3-4177-8F19-6AA366535FF8}"/>
                  </c:ext>
                </c:extLst>
              </c15:ser>
            </c15:filteredBarSeries>
          </c:ext>
        </c:extLst>
      </c:barChart>
      <c:catAx>
        <c:axId val="1540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031616"/>
        <c:crosses val="autoZero"/>
        <c:auto val="1"/>
        <c:lblAlgn val="ctr"/>
        <c:lblOffset val="100"/>
        <c:noMultiLvlLbl val="0"/>
      </c:catAx>
      <c:valAx>
        <c:axId val="15403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02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Distribución</a:t>
            </a:r>
            <a:r>
              <a:rPr lang="es-AR" baseline="0"/>
              <a:t> del Opex Plan Gas según tipo de empresa</a:t>
            </a:r>
            <a:endParaRPr lang="es-AR"/>
          </a:p>
        </c:rich>
      </c:tx>
      <c:overlay val="0"/>
      <c:spPr>
        <a:noFill/>
        <a:ln>
          <a:noFill/>
        </a:ln>
        <a:effectLst/>
      </c:spPr>
    </c:title>
    <c:autoTitleDeleted val="0"/>
    <c:plotArea>
      <c:layout/>
      <c:barChart>
        <c:barDir val="col"/>
        <c:grouping val="stacked"/>
        <c:varyColors val="0"/>
        <c:ser>
          <c:idx val="0"/>
          <c:order val="0"/>
          <c:tx>
            <c:strRef>
              <c:f>'Gráfico Opex y CL (v2)'!$D$2</c:f>
              <c:strCache>
                <c:ptCount val="1"/>
                <c:pt idx="0">
                  <c:v>Compañía Internacional</c:v>
                </c:pt>
              </c:strCache>
            </c:strRef>
          </c:tx>
          <c:spPr>
            <a:solidFill>
              <a:schemeClr val="accent1"/>
            </a:solidFill>
            <a:ln>
              <a:noFill/>
            </a:ln>
            <a:effectLst/>
          </c:spPr>
          <c:invertIfNegative val="0"/>
          <c:cat>
            <c:strRef>
              <c:f>'Gráfico Opex y CL (v2)'!$C$3:$C$14</c:f>
              <c:strCache>
                <c:ptCount val="12"/>
                <c:pt idx="0">
                  <c:v>Total</c:v>
                </c:pt>
                <c:pt idx="1">
                  <c:v>Operación y Mantenimiento</c:v>
                </c:pt>
                <c:pt idx="2">
                  <c:v>Compresión de Gas</c:v>
                </c:pt>
                <c:pt idx="3">
                  <c:v>Alambre y Mediciones Físicas</c:v>
                </c:pt>
                <c:pt idx="4">
                  <c:v>Servicios Generales</c:v>
                </c:pt>
                <c:pt idx="5">
                  <c:v>Transporte de cargas</c:v>
                </c:pt>
                <c:pt idx="6">
                  <c:v>Equipos de Torre</c:v>
                </c:pt>
                <c:pt idx="7">
                  <c:v>Movimiento de Suelos</c:v>
                </c:pt>
                <c:pt idx="8">
                  <c:v>Obras y Montajes</c:v>
                </c:pt>
                <c:pt idx="9">
                  <c:v>Medio Ambiente</c:v>
                </c:pt>
                <c:pt idx="10">
                  <c:v>Generación eléctrica</c:v>
                </c:pt>
                <c:pt idx="11">
                  <c:v>Levantamiento artificial</c:v>
                </c:pt>
              </c:strCache>
            </c:strRef>
          </c:cat>
          <c:val>
            <c:numRef>
              <c:f>'Gráfico Opex y CL (v2)'!$D$3:$D$14</c:f>
              <c:numCache>
                <c:formatCode>0%</c:formatCode>
                <c:ptCount val="12"/>
                <c:pt idx="0">
                  <c:v>0.26749706327486023</c:v>
                </c:pt>
                <c:pt idx="1">
                  <c:v>0.14533147214384354</c:v>
                </c:pt>
                <c:pt idx="2">
                  <c:v>0.94148861811362738</c:v>
                </c:pt>
                <c:pt idx="3">
                  <c:v>0.19411697433616423</c:v>
                </c:pt>
                <c:pt idx="4">
                  <c:v>4.4080027055666167E-2</c:v>
                </c:pt>
                <c:pt idx="5">
                  <c:v>1.3465515397455071E-3</c:v>
                </c:pt>
                <c:pt idx="6">
                  <c:v>0.23880108330809741</c:v>
                </c:pt>
                <c:pt idx="7">
                  <c:v>0</c:v>
                </c:pt>
                <c:pt idx="8">
                  <c:v>0</c:v>
                </c:pt>
                <c:pt idx="9">
                  <c:v>0</c:v>
                </c:pt>
                <c:pt idx="10">
                  <c:v>0</c:v>
                </c:pt>
                <c:pt idx="11">
                  <c:v>0.91260960334029229</c:v>
                </c:pt>
              </c:numCache>
            </c:numRef>
          </c:val>
          <c:extLst xmlns:c16r2="http://schemas.microsoft.com/office/drawing/2015/06/chart">
            <c:ext xmlns:c16="http://schemas.microsoft.com/office/drawing/2014/chart" uri="{C3380CC4-5D6E-409C-BE32-E72D297353CC}">
              <c16:uniqueId val="{00000000-B003-430A-B98B-0F122AC9CB2C}"/>
            </c:ext>
          </c:extLst>
        </c:ser>
        <c:ser>
          <c:idx val="1"/>
          <c:order val="1"/>
          <c:tx>
            <c:strRef>
              <c:f>'Gráfico Opex y CL (v2)'!$E$2</c:f>
              <c:strCache>
                <c:ptCount val="1"/>
                <c:pt idx="0">
                  <c:v>Compañía Local</c:v>
                </c:pt>
              </c:strCache>
            </c:strRef>
          </c:tx>
          <c:spPr>
            <a:solidFill>
              <a:schemeClr val="accent2"/>
            </a:solidFill>
            <a:ln>
              <a:noFill/>
            </a:ln>
            <a:effectLst/>
          </c:spPr>
          <c:invertIfNegative val="0"/>
          <c:cat>
            <c:strRef>
              <c:f>'Gráfico Opex y CL (v2)'!$C$3:$C$14</c:f>
              <c:strCache>
                <c:ptCount val="12"/>
                <c:pt idx="0">
                  <c:v>Total</c:v>
                </c:pt>
                <c:pt idx="1">
                  <c:v>Operación y Mantenimiento</c:v>
                </c:pt>
                <c:pt idx="2">
                  <c:v>Compresión de Gas</c:v>
                </c:pt>
                <c:pt idx="3">
                  <c:v>Alambre y Mediciones Físicas</c:v>
                </c:pt>
                <c:pt idx="4">
                  <c:v>Servicios Generales</c:v>
                </c:pt>
                <c:pt idx="5">
                  <c:v>Transporte de cargas</c:v>
                </c:pt>
                <c:pt idx="6">
                  <c:v>Equipos de Torre</c:v>
                </c:pt>
                <c:pt idx="7">
                  <c:v>Movimiento de Suelos</c:v>
                </c:pt>
                <c:pt idx="8">
                  <c:v>Obras y Montajes</c:v>
                </c:pt>
                <c:pt idx="9">
                  <c:v>Medio Ambiente</c:v>
                </c:pt>
                <c:pt idx="10">
                  <c:v>Generación eléctrica</c:v>
                </c:pt>
                <c:pt idx="11">
                  <c:v>Levantamiento artificial</c:v>
                </c:pt>
              </c:strCache>
            </c:strRef>
          </c:cat>
          <c:val>
            <c:numRef>
              <c:f>'Gráfico Opex y CL (v2)'!$E$3:$E$14</c:f>
              <c:numCache>
                <c:formatCode>0%</c:formatCode>
                <c:ptCount val="12"/>
                <c:pt idx="0">
                  <c:v>0.19629133568062232</c:v>
                </c:pt>
                <c:pt idx="1">
                  <c:v>0.14741078428641358</c:v>
                </c:pt>
                <c:pt idx="2">
                  <c:v>0</c:v>
                </c:pt>
                <c:pt idx="3">
                  <c:v>0</c:v>
                </c:pt>
                <c:pt idx="4">
                  <c:v>0.28605974057911304</c:v>
                </c:pt>
                <c:pt idx="5">
                  <c:v>0.54134795633008059</c:v>
                </c:pt>
                <c:pt idx="6">
                  <c:v>0.581164306235742</c:v>
                </c:pt>
                <c:pt idx="7">
                  <c:v>7.0121419685413976E-3</c:v>
                </c:pt>
                <c:pt idx="8">
                  <c:v>0.84705527424163551</c:v>
                </c:pt>
                <c:pt idx="9">
                  <c:v>7.9599216817615087E-2</c:v>
                </c:pt>
                <c:pt idx="10">
                  <c:v>0</c:v>
                </c:pt>
                <c:pt idx="11">
                  <c:v>8.7390396659707728E-2</c:v>
                </c:pt>
              </c:numCache>
            </c:numRef>
          </c:val>
          <c:extLst xmlns:c16r2="http://schemas.microsoft.com/office/drawing/2015/06/chart">
            <c:ext xmlns:c16="http://schemas.microsoft.com/office/drawing/2014/chart" uri="{C3380CC4-5D6E-409C-BE32-E72D297353CC}">
              <c16:uniqueId val="{00000001-B003-430A-B98B-0F122AC9CB2C}"/>
            </c:ext>
          </c:extLst>
        </c:ser>
        <c:ser>
          <c:idx val="2"/>
          <c:order val="2"/>
          <c:tx>
            <c:strRef>
              <c:f>'Gráfico Opex y CL (v2)'!$F$2</c:f>
              <c:strCache>
                <c:ptCount val="1"/>
                <c:pt idx="0">
                  <c:v>Compañía Nacional</c:v>
                </c:pt>
              </c:strCache>
            </c:strRef>
          </c:tx>
          <c:spPr>
            <a:solidFill>
              <a:schemeClr val="accent3"/>
            </a:solidFill>
            <a:ln>
              <a:noFill/>
            </a:ln>
            <a:effectLst/>
          </c:spPr>
          <c:invertIfNegative val="0"/>
          <c:cat>
            <c:strRef>
              <c:f>'Gráfico Opex y CL (v2)'!$C$3:$C$14</c:f>
              <c:strCache>
                <c:ptCount val="12"/>
                <c:pt idx="0">
                  <c:v>Total</c:v>
                </c:pt>
                <c:pt idx="1">
                  <c:v>Operación y Mantenimiento</c:v>
                </c:pt>
                <c:pt idx="2">
                  <c:v>Compresión de Gas</c:v>
                </c:pt>
                <c:pt idx="3">
                  <c:v>Alambre y Mediciones Físicas</c:v>
                </c:pt>
                <c:pt idx="4">
                  <c:v>Servicios Generales</c:v>
                </c:pt>
                <c:pt idx="5">
                  <c:v>Transporte de cargas</c:v>
                </c:pt>
                <c:pt idx="6">
                  <c:v>Equipos de Torre</c:v>
                </c:pt>
                <c:pt idx="7">
                  <c:v>Movimiento de Suelos</c:v>
                </c:pt>
                <c:pt idx="8">
                  <c:v>Obras y Montajes</c:v>
                </c:pt>
                <c:pt idx="9">
                  <c:v>Medio Ambiente</c:v>
                </c:pt>
                <c:pt idx="10">
                  <c:v>Generación eléctrica</c:v>
                </c:pt>
                <c:pt idx="11">
                  <c:v>Levantamiento artificial</c:v>
                </c:pt>
              </c:strCache>
            </c:strRef>
          </c:cat>
          <c:val>
            <c:numRef>
              <c:f>'Gráfico Opex y CL (v2)'!$F$3:$F$14</c:f>
              <c:numCache>
                <c:formatCode>0%</c:formatCode>
                <c:ptCount val="12"/>
                <c:pt idx="0">
                  <c:v>0.33265563074896293</c:v>
                </c:pt>
                <c:pt idx="1">
                  <c:v>0.62609880488552294</c:v>
                </c:pt>
                <c:pt idx="2">
                  <c:v>5.8511381886372643E-2</c:v>
                </c:pt>
                <c:pt idx="3">
                  <c:v>0.22502454981266218</c:v>
                </c:pt>
                <c:pt idx="4">
                  <c:v>0.27120501018781973</c:v>
                </c:pt>
                <c:pt idx="5">
                  <c:v>8.9045353197115731E-3</c:v>
                </c:pt>
                <c:pt idx="6">
                  <c:v>0.18003461045616057</c:v>
                </c:pt>
                <c:pt idx="7">
                  <c:v>0.97654788675375948</c:v>
                </c:pt>
                <c:pt idx="8">
                  <c:v>0.15294472575836449</c:v>
                </c:pt>
                <c:pt idx="9">
                  <c:v>0.46056993442943672</c:v>
                </c:pt>
                <c:pt idx="10">
                  <c:v>1</c:v>
                </c:pt>
                <c:pt idx="11">
                  <c:v>0</c:v>
                </c:pt>
              </c:numCache>
            </c:numRef>
          </c:val>
          <c:extLst xmlns:c16r2="http://schemas.microsoft.com/office/drawing/2015/06/chart">
            <c:ext xmlns:c16="http://schemas.microsoft.com/office/drawing/2014/chart" uri="{C3380CC4-5D6E-409C-BE32-E72D297353CC}">
              <c16:uniqueId val="{00000002-B003-430A-B98B-0F122AC9CB2C}"/>
            </c:ext>
          </c:extLst>
        </c:ser>
        <c:ser>
          <c:idx val="3"/>
          <c:order val="3"/>
          <c:tx>
            <c:strRef>
              <c:f>'Gráfico Opex y CL (v2)'!$G$2</c:f>
              <c:strCache>
                <c:ptCount val="1"/>
                <c:pt idx="0">
                  <c:v>Compañía Regional</c:v>
                </c:pt>
              </c:strCache>
            </c:strRef>
          </c:tx>
          <c:spPr>
            <a:solidFill>
              <a:schemeClr val="accent4"/>
            </a:solidFill>
            <a:ln>
              <a:noFill/>
            </a:ln>
            <a:effectLst/>
          </c:spPr>
          <c:invertIfNegative val="0"/>
          <c:cat>
            <c:strRef>
              <c:f>'Gráfico Opex y CL (v2)'!$C$3:$C$14</c:f>
              <c:strCache>
                <c:ptCount val="12"/>
                <c:pt idx="0">
                  <c:v>Total</c:v>
                </c:pt>
                <c:pt idx="1">
                  <c:v>Operación y Mantenimiento</c:v>
                </c:pt>
                <c:pt idx="2">
                  <c:v>Compresión de Gas</c:v>
                </c:pt>
                <c:pt idx="3">
                  <c:v>Alambre y Mediciones Físicas</c:v>
                </c:pt>
                <c:pt idx="4">
                  <c:v>Servicios Generales</c:v>
                </c:pt>
                <c:pt idx="5">
                  <c:v>Transporte de cargas</c:v>
                </c:pt>
                <c:pt idx="6">
                  <c:v>Equipos de Torre</c:v>
                </c:pt>
                <c:pt idx="7">
                  <c:v>Movimiento de Suelos</c:v>
                </c:pt>
                <c:pt idx="8">
                  <c:v>Obras y Montajes</c:v>
                </c:pt>
                <c:pt idx="9">
                  <c:v>Medio Ambiente</c:v>
                </c:pt>
                <c:pt idx="10">
                  <c:v>Generación eléctrica</c:v>
                </c:pt>
                <c:pt idx="11">
                  <c:v>Levantamiento artificial</c:v>
                </c:pt>
              </c:strCache>
            </c:strRef>
          </c:cat>
          <c:val>
            <c:numRef>
              <c:f>'Gráfico Opex y CL (v2)'!$G$3:$G$14</c:f>
              <c:numCache>
                <c:formatCode>0%</c:formatCode>
                <c:ptCount val="12"/>
                <c:pt idx="0">
                  <c:v>0.20355597029555453</c:v>
                </c:pt>
                <c:pt idx="1">
                  <c:v>8.1158938684219958E-2</c:v>
                </c:pt>
                <c:pt idx="2">
                  <c:v>0</c:v>
                </c:pt>
                <c:pt idx="3">
                  <c:v>0.58085847585117356</c:v>
                </c:pt>
                <c:pt idx="4">
                  <c:v>0.39865522217740107</c:v>
                </c:pt>
                <c:pt idx="5">
                  <c:v>0.44840095681046238</c:v>
                </c:pt>
                <c:pt idx="6">
                  <c:v>0</c:v>
                </c:pt>
                <c:pt idx="7">
                  <c:v>1.6439971277699143E-2</c:v>
                </c:pt>
                <c:pt idx="8">
                  <c:v>0</c:v>
                </c:pt>
                <c:pt idx="9">
                  <c:v>0.45983084875294822</c:v>
                </c:pt>
                <c:pt idx="10">
                  <c:v>0</c:v>
                </c:pt>
                <c:pt idx="11">
                  <c:v>0</c:v>
                </c:pt>
              </c:numCache>
            </c:numRef>
          </c:val>
          <c:extLst xmlns:c16r2="http://schemas.microsoft.com/office/drawing/2015/06/chart">
            <c:ext xmlns:c16="http://schemas.microsoft.com/office/drawing/2014/chart" uri="{C3380CC4-5D6E-409C-BE32-E72D297353CC}">
              <c16:uniqueId val="{00000003-B003-430A-B98B-0F122AC9CB2C}"/>
            </c:ext>
          </c:extLst>
        </c:ser>
        <c:dLbls>
          <c:showLegendKey val="0"/>
          <c:showVal val="0"/>
          <c:showCatName val="0"/>
          <c:showSerName val="0"/>
          <c:showPercent val="0"/>
          <c:showBubbleSize val="0"/>
        </c:dLbls>
        <c:gapWidth val="150"/>
        <c:overlap val="100"/>
        <c:axId val="154051328"/>
        <c:axId val="154052864"/>
      </c:barChart>
      <c:catAx>
        <c:axId val="15405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052864"/>
        <c:crosses val="autoZero"/>
        <c:auto val="1"/>
        <c:lblAlgn val="ctr"/>
        <c:lblOffset val="100"/>
        <c:noMultiLvlLbl val="0"/>
      </c:catAx>
      <c:valAx>
        <c:axId val="1540528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0513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Participación sobre el gasto según Tipo de Empresa</a:t>
            </a:r>
          </a:p>
        </c:rich>
      </c:tx>
      <c:overlay val="0"/>
      <c:spPr>
        <a:noFill/>
        <a:ln>
          <a:noFill/>
        </a:ln>
        <a:effectLst/>
      </c:spPr>
    </c:title>
    <c:autoTitleDeleted val="0"/>
    <c:plotArea>
      <c:layout/>
      <c:barChart>
        <c:barDir val="bar"/>
        <c:grouping val="percentStacked"/>
        <c:varyColors val="0"/>
        <c:ser>
          <c:idx val="0"/>
          <c:order val="0"/>
          <c:tx>
            <c:strRef>
              <c:f>'PBK21 (v2)'!$C$66</c:f>
              <c:strCache>
                <c:ptCount val="1"/>
                <c:pt idx="0">
                  <c:v>Compañía Internacional</c:v>
                </c:pt>
              </c:strCache>
            </c:strRef>
          </c:tx>
          <c:spPr>
            <a:solidFill>
              <a:schemeClr val="accent1"/>
            </a:solidFill>
            <a:ln>
              <a:noFill/>
            </a:ln>
            <a:effectLst/>
          </c:spPr>
          <c:invertIfNegative val="0"/>
          <c:cat>
            <c:strRef>
              <c:f>'PBK21 (v2)'!$B$67:$B$68</c:f>
              <c:strCache>
                <c:ptCount val="2"/>
                <c:pt idx="0">
                  <c:v>Opex</c:v>
                </c:pt>
                <c:pt idx="1">
                  <c:v>Capex</c:v>
                </c:pt>
              </c:strCache>
            </c:strRef>
          </c:cat>
          <c:val>
            <c:numRef>
              <c:f>'PBK21 (v2)'!$C$67:$C$68</c:f>
              <c:numCache>
                <c:formatCode>0%</c:formatCode>
                <c:ptCount val="2"/>
                <c:pt idx="0">
                  <c:v>0.26749706327486023</c:v>
                </c:pt>
                <c:pt idx="1">
                  <c:v>0.72043543225951245</c:v>
                </c:pt>
              </c:numCache>
            </c:numRef>
          </c:val>
          <c:extLst xmlns:c16r2="http://schemas.microsoft.com/office/drawing/2015/06/chart">
            <c:ext xmlns:c16="http://schemas.microsoft.com/office/drawing/2014/chart" uri="{C3380CC4-5D6E-409C-BE32-E72D297353CC}">
              <c16:uniqueId val="{00000000-7DC9-47E4-B725-02A68AFDF009}"/>
            </c:ext>
          </c:extLst>
        </c:ser>
        <c:ser>
          <c:idx val="1"/>
          <c:order val="1"/>
          <c:tx>
            <c:strRef>
              <c:f>'PBK21'!$D$66</c:f>
              <c:strCache>
                <c:ptCount val="1"/>
                <c:pt idx="0">
                  <c:v>Compañía Local</c:v>
                </c:pt>
              </c:strCache>
            </c:strRef>
          </c:tx>
          <c:spPr>
            <a:solidFill>
              <a:schemeClr val="accent2"/>
            </a:solidFill>
            <a:ln>
              <a:noFill/>
            </a:ln>
            <a:effectLst/>
          </c:spPr>
          <c:invertIfNegative val="0"/>
          <c:cat>
            <c:strRef>
              <c:f>'PBK21'!$B$67:$B$68</c:f>
              <c:strCache>
                <c:ptCount val="2"/>
                <c:pt idx="0">
                  <c:v>Opex</c:v>
                </c:pt>
                <c:pt idx="1">
                  <c:v>Capex</c:v>
                </c:pt>
              </c:strCache>
            </c:strRef>
          </c:cat>
          <c:val>
            <c:numRef>
              <c:f>'PBK21'!$D$67:$D$68</c:f>
            </c:numRef>
          </c:val>
          <c:extLst xmlns:c16r2="http://schemas.microsoft.com/office/drawing/2015/06/chart">
            <c:ext xmlns:c16="http://schemas.microsoft.com/office/drawing/2014/chart" uri="{C3380CC4-5D6E-409C-BE32-E72D297353CC}">
              <c16:uniqueId val="{00000001-7DC9-47E4-B725-02A68AFDF009}"/>
            </c:ext>
          </c:extLst>
        </c:ser>
        <c:ser>
          <c:idx val="2"/>
          <c:order val="2"/>
          <c:tx>
            <c:strRef>
              <c:f>'PBK21 (v2)'!$E$66</c:f>
              <c:strCache>
                <c:ptCount val="1"/>
                <c:pt idx="0">
                  <c:v>Compañía Local</c:v>
                </c:pt>
              </c:strCache>
            </c:strRef>
          </c:tx>
          <c:spPr>
            <a:solidFill>
              <a:schemeClr val="accent3"/>
            </a:solidFill>
            <a:ln>
              <a:noFill/>
            </a:ln>
            <a:effectLst/>
          </c:spPr>
          <c:invertIfNegative val="0"/>
          <c:cat>
            <c:strRef>
              <c:f>'PBK21 (v2)'!$B$67:$B$68</c:f>
              <c:strCache>
                <c:ptCount val="2"/>
                <c:pt idx="0">
                  <c:v>Opex</c:v>
                </c:pt>
                <c:pt idx="1">
                  <c:v>Capex</c:v>
                </c:pt>
              </c:strCache>
            </c:strRef>
          </c:cat>
          <c:val>
            <c:numRef>
              <c:f>'PBK21 (v2)'!$E$67:$E$68</c:f>
              <c:numCache>
                <c:formatCode>0%</c:formatCode>
                <c:ptCount val="2"/>
                <c:pt idx="0">
                  <c:v>0.19629133568062232</c:v>
                </c:pt>
                <c:pt idx="1">
                  <c:v>6.7693284416811356E-2</c:v>
                </c:pt>
              </c:numCache>
            </c:numRef>
          </c:val>
          <c:extLst xmlns:c16r2="http://schemas.microsoft.com/office/drawing/2015/06/chart">
            <c:ext xmlns:c16="http://schemas.microsoft.com/office/drawing/2014/chart" uri="{C3380CC4-5D6E-409C-BE32-E72D297353CC}">
              <c16:uniqueId val="{00000002-7DC9-47E4-B725-02A68AFDF009}"/>
            </c:ext>
          </c:extLst>
        </c:ser>
        <c:ser>
          <c:idx val="3"/>
          <c:order val="3"/>
          <c:tx>
            <c:strRef>
              <c:f>'PBK21 (v2)'!$F$66</c:f>
              <c:strCache>
                <c:ptCount val="1"/>
                <c:pt idx="0">
                  <c:v>Compañía Nacional</c:v>
                </c:pt>
              </c:strCache>
            </c:strRef>
          </c:tx>
          <c:spPr>
            <a:solidFill>
              <a:schemeClr val="accent4"/>
            </a:solidFill>
            <a:ln>
              <a:noFill/>
            </a:ln>
            <a:effectLst/>
          </c:spPr>
          <c:invertIfNegative val="0"/>
          <c:cat>
            <c:strRef>
              <c:f>'PBK21 (v2)'!$B$67:$B$68</c:f>
              <c:strCache>
                <c:ptCount val="2"/>
                <c:pt idx="0">
                  <c:v>Opex</c:v>
                </c:pt>
                <c:pt idx="1">
                  <c:v>Capex</c:v>
                </c:pt>
              </c:strCache>
            </c:strRef>
          </c:cat>
          <c:val>
            <c:numRef>
              <c:f>'PBK21 (v2)'!$F$67:$F$68</c:f>
              <c:numCache>
                <c:formatCode>0%</c:formatCode>
                <c:ptCount val="2"/>
                <c:pt idx="0">
                  <c:v>0.33265563074896293</c:v>
                </c:pt>
                <c:pt idx="1">
                  <c:v>0.28055736371693751</c:v>
                </c:pt>
              </c:numCache>
            </c:numRef>
          </c:val>
          <c:extLst xmlns:c16r2="http://schemas.microsoft.com/office/drawing/2015/06/chart">
            <c:ext xmlns:c16="http://schemas.microsoft.com/office/drawing/2014/chart" uri="{C3380CC4-5D6E-409C-BE32-E72D297353CC}">
              <c16:uniqueId val="{00000003-7DC9-47E4-B725-02A68AFDF009}"/>
            </c:ext>
          </c:extLst>
        </c:ser>
        <c:ser>
          <c:idx val="4"/>
          <c:order val="4"/>
          <c:tx>
            <c:strRef>
              <c:f>'PBK21 (v2)'!$G$66</c:f>
              <c:strCache>
                <c:ptCount val="1"/>
                <c:pt idx="0">
                  <c:v>Compañía Regional</c:v>
                </c:pt>
              </c:strCache>
            </c:strRef>
          </c:tx>
          <c:spPr>
            <a:solidFill>
              <a:schemeClr val="accent5"/>
            </a:solidFill>
            <a:ln>
              <a:noFill/>
            </a:ln>
            <a:effectLst/>
          </c:spPr>
          <c:invertIfNegative val="0"/>
          <c:cat>
            <c:strRef>
              <c:f>'PBK21 (v2)'!$B$67:$B$68</c:f>
              <c:strCache>
                <c:ptCount val="2"/>
                <c:pt idx="0">
                  <c:v>Opex</c:v>
                </c:pt>
                <c:pt idx="1">
                  <c:v>Capex</c:v>
                </c:pt>
              </c:strCache>
            </c:strRef>
          </c:cat>
          <c:val>
            <c:numRef>
              <c:f>'PBK21 (v2)'!$G$67:$G$68</c:f>
              <c:numCache>
                <c:formatCode>0%</c:formatCode>
                <c:ptCount val="2"/>
                <c:pt idx="0">
                  <c:v>0.20355597029555453</c:v>
                </c:pt>
                <c:pt idx="1">
                  <c:v>6.7967884298553265E-3</c:v>
                </c:pt>
              </c:numCache>
            </c:numRef>
          </c:val>
          <c:extLst xmlns:c16r2="http://schemas.microsoft.com/office/drawing/2015/06/chart">
            <c:ext xmlns:c16="http://schemas.microsoft.com/office/drawing/2014/chart" uri="{C3380CC4-5D6E-409C-BE32-E72D297353CC}">
              <c16:uniqueId val="{00000004-7DC9-47E4-B725-02A68AFDF009}"/>
            </c:ext>
          </c:extLst>
        </c:ser>
        <c:dLbls>
          <c:showLegendKey val="0"/>
          <c:showVal val="0"/>
          <c:showCatName val="0"/>
          <c:showSerName val="0"/>
          <c:showPercent val="0"/>
          <c:showBubbleSize val="0"/>
        </c:dLbls>
        <c:gapWidth val="150"/>
        <c:overlap val="100"/>
        <c:axId val="154217856"/>
        <c:axId val="154227840"/>
      </c:barChart>
      <c:catAx>
        <c:axId val="15421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227840"/>
        <c:crosses val="autoZero"/>
        <c:auto val="1"/>
        <c:lblAlgn val="ctr"/>
        <c:lblOffset val="100"/>
        <c:noMultiLvlLbl val="0"/>
      </c:catAx>
      <c:valAx>
        <c:axId val="154227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21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Participación sobre</a:t>
            </a:r>
            <a:r>
              <a:rPr lang="es-AR" baseline="0"/>
              <a:t> el gasto según tipo de costo</a:t>
            </a:r>
            <a:endParaRPr lang="es-AR"/>
          </a:p>
        </c:rich>
      </c:tx>
      <c:overlay val="0"/>
      <c:spPr>
        <a:noFill/>
        <a:ln>
          <a:noFill/>
        </a:ln>
        <a:effectLst/>
      </c:spPr>
    </c:title>
    <c:autoTitleDeleted val="0"/>
    <c:plotArea>
      <c:layout/>
      <c:barChart>
        <c:barDir val="bar"/>
        <c:grouping val="stacked"/>
        <c:varyColors val="0"/>
        <c:ser>
          <c:idx val="0"/>
          <c:order val="0"/>
          <c:tx>
            <c:strRef>
              <c:f>'Graficos 1'!$K$6</c:f>
              <c:strCache>
                <c:ptCount val="1"/>
                <c:pt idx="0">
                  <c:v>Costo Nacional</c:v>
                </c:pt>
              </c:strCache>
            </c:strRef>
          </c:tx>
          <c:spPr>
            <a:solidFill>
              <a:schemeClr val="accent1"/>
            </a:solidFill>
            <a:ln>
              <a:noFill/>
            </a:ln>
            <a:effectLst/>
          </c:spPr>
          <c:invertIfNegative val="0"/>
          <c:cat>
            <c:strRef>
              <c:f>'Graficos 1'!$J$7:$J$8</c:f>
              <c:strCache>
                <c:ptCount val="2"/>
                <c:pt idx="0">
                  <c:v>Capex</c:v>
                </c:pt>
                <c:pt idx="1">
                  <c:v>Opex</c:v>
                </c:pt>
              </c:strCache>
            </c:strRef>
          </c:cat>
          <c:val>
            <c:numRef>
              <c:f>'Graficos 1'!$K$7:$K$8</c:f>
              <c:numCache>
                <c:formatCode>0%</c:formatCode>
                <c:ptCount val="2"/>
                <c:pt idx="0">
                  <c:v>0.42599999999999999</c:v>
                </c:pt>
                <c:pt idx="1">
                  <c:v>0.54400000000000004</c:v>
                </c:pt>
              </c:numCache>
            </c:numRef>
          </c:val>
          <c:extLst xmlns:c16r2="http://schemas.microsoft.com/office/drawing/2015/06/chart">
            <c:ext xmlns:c16="http://schemas.microsoft.com/office/drawing/2014/chart" uri="{C3380CC4-5D6E-409C-BE32-E72D297353CC}">
              <c16:uniqueId val="{00000000-7ED5-4E70-92D9-0874CCFA8DA2}"/>
            </c:ext>
          </c:extLst>
        </c:ser>
        <c:ser>
          <c:idx val="1"/>
          <c:order val="1"/>
          <c:tx>
            <c:strRef>
              <c:f>'Graficos 1'!$L$6</c:f>
              <c:strCache>
                <c:ptCount val="1"/>
                <c:pt idx="0">
                  <c:v>Costo Importado</c:v>
                </c:pt>
              </c:strCache>
            </c:strRef>
          </c:tx>
          <c:spPr>
            <a:solidFill>
              <a:schemeClr val="accent2"/>
            </a:solidFill>
            <a:ln>
              <a:noFill/>
            </a:ln>
            <a:effectLst/>
          </c:spPr>
          <c:invertIfNegative val="0"/>
          <c:cat>
            <c:strRef>
              <c:f>'Graficos 1'!$J$7:$J$8</c:f>
              <c:strCache>
                <c:ptCount val="2"/>
                <c:pt idx="0">
                  <c:v>Capex</c:v>
                </c:pt>
                <c:pt idx="1">
                  <c:v>Opex</c:v>
                </c:pt>
              </c:strCache>
            </c:strRef>
          </c:cat>
          <c:val>
            <c:numRef>
              <c:f>'Graficos 1'!$L$7:$L$8</c:f>
              <c:numCache>
                <c:formatCode>0%</c:formatCode>
                <c:ptCount val="2"/>
                <c:pt idx="0">
                  <c:v>0.27600000000000002</c:v>
                </c:pt>
                <c:pt idx="1">
                  <c:v>8.7999999999999995E-2</c:v>
                </c:pt>
              </c:numCache>
            </c:numRef>
          </c:val>
          <c:extLst xmlns:c16r2="http://schemas.microsoft.com/office/drawing/2015/06/chart">
            <c:ext xmlns:c16="http://schemas.microsoft.com/office/drawing/2014/chart" uri="{C3380CC4-5D6E-409C-BE32-E72D297353CC}">
              <c16:uniqueId val="{00000001-7ED5-4E70-92D9-0874CCFA8DA2}"/>
            </c:ext>
          </c:extLst>
        </c:ser>
        <c:ser>
          <c:idx val="2"/>
          <c:order val="2"/>
          <c:tx>
            <c:strRef>
              <c:f>'Graficos 1'!$M$6</c:f>
              <c:strCache>
                <c:ptCount val="1"/>
                <c:pt idx="0">
                  <c:v>Mano de Obra</c:v>
                </c:pt>
              </c:strCache>
            </c:strRef>
          </c:tx>
          <c:spPr>
            <a:solidFill>
              <a:schemeClr val="accent3"/>
            </a:solidFill>
            <a:ln>
              <a:noFill/>
            </a:ln>
            <a:effectLst/>
          </c:spPr>
          <c:invertIfNegative val="0"/>
          <c:cat>
            <c:strRef>
              <c:f>'Graficos 1'!$J$7:$J$8</c:f>
              <c:strCache>
                <c:ptCount val="2"/>
                <c:pt idx="0">
                  <c:v>Capex</c:v>
                </c:pt>
                <c:pt idx="1">
                  <c:v>Opex</c:v>
                </c:pt>
              </c:strCache>
            </c:strRef>
          </c:cat>
          <c:val>
            <c:numRef>
              <c:f>'Graficos 1'!$M$7:$M$8</c:f>
              <c:numCache>
                <c:formatCode>0%</c:formatCode>
                <c:ptCount val="2"/>
                <c:pt idx="0">
                  <c:v>0.29799999999999999</c:v>
                </c:pt>
                <c:pt idx="1">
                  <c:v>0.36799999999999999</c:v>
                </c:pt>
              </c:numCache>
            </c:numRef>
          </c:val>
          <c:extLst xmlns:c16r2="http://schemas.microsoft.com/office/drawing/2015/06/chart">
            <c:ext xmlns:c16="http://schemas.microsoft.com/office/drawing/2014/chart" uri="{C3380CC4-5D6E-409C-BE32-E72D297353CC}">
              <c16:uniqueId val="{00000002-7ED5-4E70-92D9-0874CCFA8DA2}"/>
            </c:ext>
          </c:extLst>
        </c:ser>
        <c:dLbls>
          <c:showLegendKey val="0"/>
          <c:showVal val="0"/>
          <c:showCatName val="0"/>
          <c:showSerName val="0"/>
          <c:showPercent val="0"/>
          <c:showBubbleSize val="0"/>
        </c:dLbls>
        <c:gapWidth val="150"/>
        <c:overlap val="100"/>
        <c:axId val="154255360"/>
        <c:axId val="154256896"/>
      </c:barChart>
      <c:catAx>
        <c:axId val="15425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256896"/>
        <c:crosses val="autoZero"/>
        <c:auto val="1"/>
        <c:lblAlgn val="ctr"/>
        <c:lblOffset val="100"/>
        <c:noMultiLvlLbl val="0"/>
      </c:catAx>
      <c:valAx>
        <c:axId val="15425689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425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E8EE693D02CC4F98F1524348C8F292" ma:contentTypeVersion="13" ma:contentTypeDescription="Crear nuevo documento." ma:contentTypeScope="" ma:versionID="a35e878d5a76bb5238bcd254e5bee382">
  <xsd:schema xmlns:xsd="http://www.w3.org/2001/XMLSchema" xmlns:xs="http://www.w3.org/2001/XMLSchema" xmlns:p="http://schemas.microsoft.com/office/2006/metadata/properties" xmlns:ns1="http://schemas.microsoft.com/sharepoint/v3" xmlns:ns3="196db532-3f3b-4a0f-98a8-d8a16f08c04d" xmlns:ns4="cdb2b55b-3bed-41c6-a919-be2d73aa1e0c" targetNamespace="http://schemas.microsoft.com/office/2006/metadata/properties" ma:root="true" ma:fieldsID="e0d162b3fb698e2229e34ce319c2692d" ns1:_="" ns3:_="" ns4:_="">
    <xsd:import namespace="http://schemas.microsoft.com/sharepoint/v3"/>
    <xsd:import namespace="196db532-3f3b-4a0f-98a8-d8a16f08c04d"/>
    <xsd:import namespace="cdb2b55b-3bed-41c6-a919-be2d73aa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hidden="true" ma:internalName="_ip_UnifiedCompliancePolicyProperties">
      <xsd:simpleType>
        <xsd:restriction base="dms:Note"/>
      </xsd:simpleType>
    </xsd:element>
    <xsd:element name="_ip_UnifiedCompliancePolicyUIAction" ma:index="1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db532-3f3b-4a0f-98a8-d8a16f08c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2b55b-3bed-41c6-a919-be2d73aa1e0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F3A7-9E78-4597-B8AF-FEBF35B8B5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805025-0B01-4EF8-9180-7FDF60382CC6}">
  <ds:schemaRefs>
    <ds:schemaRef ds:uri="http://schemas.microsoft.com/sharepoint/v3/contenttype/forms"/>
  </ds:schemaRefs>
</ds:datastoreItem>
</file>

<file path=customXml/itemProps3.xml><?xml version="1.0" encoding="utf-8"?>
<ds:datastoreItem xmlns:ds="http://schemas.openxmlformats.org/officeDocument/2006/customXml" ds:itemID="{1982CCF5-603A-4492-AD82-5EAB25F7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db532-3f3b-4a0f-98a8-d8a16f08c04d"/>
    <ds:schemaRef ds:uri="cdb2b55b-3bed-41c6-a919-be2d73aa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DCE9E-3126-4ACA-8E9F-E8C774D3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2809</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GHIRARDI, ALEJO</dc:creator>
  <cp:lastModifiedBy>Luffi</cp:lastModifiedBy>
  <cp:revision>2</cp:revision>
  <dcterms:created xsi:type="dcterms:W3CDTF">2021-02-24T18:18:00Z</dcterms:created>
  <dcterms:modified xsi:type="dcterms:W3CDTF">2021-02-24T18:18:00Z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0x010100F5E8EE693D02CC4F98F1524348C8F292</vt:lpwstr>
  </property>
  <property fmtid="{D5CDD505-2E9C-101B-9397-08002B2CF9AE}" pid="3" name="MSIP_Label_b701c5ec-e5b5-40ab-b632-dbf2eb8611fa_Enabled">
    <vt:lpwstr>True</vt:lpwstr>
  </property>
  <property fmtid="{D5CDD505-2E9C-101B-9397-08002B2CF9AE}" pid="4" name="MSIP_Label_b701c5ec-e5b5-40ab-b632-dbf2eb8611fa_SiteId">
    <vt:lpwstr>038018c3-616c-4b46-ad9b-aa9007f701b5</vt:lpwstr>
  </property>
  <property fmtid="{D5CDD505-2E9C-101B-9397-08002B2CF9AE}" pid="5" name="MSIP_Label_b701c5ec-e5b5-40ab-b632-dbf2eb8611fa_Owner">
    <vt:lpwstr>RY12933@grupo.ypf.com</vt:lpwstr>
  </property>
  <property fmtid="{D5CDD505-2E9C-101B-9397-08002B2CF9AE}" pid="6" name="MSIP_Label_b701c5ec-e5b5-40ab-b632-dbf2eb8611fa_SetDate">
    <vt:lpwstr>2021-02-14T14:10:58.0400084Z</vt:lpwstr>
  </property>
  <property fmtid="{D5CDD505-2E9C-101B-9397-08002B2CF9AE}" pid="7" name="MSIP_Label_b701c5ec-e5b5-40ab-b632-dbf2eb8611fa_Name">
    <vt:lpwstr>YPF - Privada</vt:lpwstr>
  </property>
  <property fmtid="{D5CDD505-2E9C-101B-9397-08002B2CF9AE}" pid="8" name="MSIP_Label_b701c5ec-e5b5-40ab-b632-dbf2eb8611fa_Application">
    <vt:lpwstr>Microsoft Azure Information Protection</vt:lpwstr>
  </property>
  <property fmtid="{D5CDD505-2E9C-101B-9397-08002B2CF9AE}" pid="9" name="MSIP_Label_b701c5ec-e5b5-40ab-b632-dbf2eb8611fa_ActionId">
    <vt:lpwstr>a651f93c-eb7c-4851-8fa1-4173fb7d87a2</vt:lpwstr>
  </property>
  <property fmtid="{D5CDD505-2E9C-101B-9397-08002B2CF9AE}" pid="10" name="MSIP_Label_b701c5ec-e5b5-40ab-b632-dbf2eb8611fa_Extended_MSFT_Method">
    <vt:lpwstr>Manual</vt:lpwstr>
  </property>
  <property fmtid="{D5CDD505-2E9C-101B-9397-08002B2CF9AE}" pid="11" name="Sensitivity">
    <vt:lpwstr>YPF - Privada</vt:lpwstr>
  </property>
</Properties>
</file>